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C087"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Na temelju članka 49. stavka 1. Zakona o koncesijama („Narodne novine“, broj 69/17., 107/20.), članka 10. stavka 4. Odluke o komunalnim djelatnostima na području Općine Jelenje („Službene novine Općine Jelenje“ broj 20/19., 26/19. i 41/21.) i članka 33. stavak 1. točka 23. Statuta Općine Jelenje („Službene novine Općine Jelenje“ broj 59/23.) Općinsko vijeće Općine Jelenje na 24. sjednici održanoj dana 26. veljače 2025. godine donijelo je sljedeću</w:t>
      </w:r>
    </w:p>
    <w:p w14:paraId="471EE01F" w14:textId="77777777" w:rsidR="0075584A" w:rsidRPr="0075584A" w:rsidRDefault="0075584A" w:rsidP="0075584A">
      <w:pPr>
        <w:suppressAutoHyphens w:val="0"/>
        <w:spacing w:after="160"/>
        <w:jc w:val="both"/>
        <w:textAlignment w:val="auto"/>
        <w:rPr>
          <w:rFonts w:ascii="Arial" w:hAnsi="Arial" w:cs="Arial"/>
        </w:rPr>
      </w:pPr>
    </w:p>
    <w:p w14:paraId="0688E061" w14:textId="77777777" w:rsidR="0075584A" w:rsidRPr="0075584A" w:rsidRDefault="00000000" w:rsidP="0075584A">
      <w:pPr>
        <w:suppressAutoHyphens w:val="0"/>
        <w:spacing w:after="160"/>
        <w:jc w:val="center"/>
        <w:textAlignment w:val="auto"/>
        <w:rPr>
          <w:rFonts w:ascii="Arial" w:hAnsi="Arial" w:cs="Arial"/>
          <w:b/>
          <w:bCs/>
        </w:rPr>
      </w:pPr>
      <w:r w:rsidRPr="0075584A">
        <w:rPr>
          <w:rFonts w:ascii="Arial" w:hAnsi="Arial" w:cs="Arial"/>
          <w:b/>
          <w:bCs/>
        </w:rPr>
        <w:t xml:space="preserve">O D L U K U </w:t>
      </w:r>
    </w:p>
    <w:p w14:paraId="4C1497EB" w14:textId="77777777" w:rsidR="0075584A" w:rsidRPr="0075584A" w:rsidRDefault="00000000" w:rsidP="0075584A">
      <w:pPr>
        <w:suppressAutoHyphens w:val="0"/>
        <w:spacing w:after="160"/>
        <w:jc w:val="center"/>
        <w:textAlignment w:val="auto"/>
        <w:rPr>
          <w:rFonts w:ascii="Arial" w:hAnsi="Arial" w:cs="Arial"/>
          <w:b/>
          <w:bCs/>
        </w:rPr>
      </w:pPr>
      <w:r w:rsidRPr="0075584A">
        <w:rPr>
          <w:rFonts w:ascii="Arial" w:hAnsi="Arial" w:cs="Arial"/>
          <w:b/>
          <w:bCs/>
        </w:rPr>
        <w:t>o davanju koncesije za obavljanje komunalne</w:t>
      </w:r>
    </w:p>
    <w:p w14:paraId="4D14F26E" w14:textId="77777777" w:rsidR="0075584A" w:rsidRPr="0075584A" w:rsidRDefault="00000000" w:rsidP="0075584A">
      <w:pPr>
        <w:suppressAutoHyphens w:val="0"/>
        <w:spacing w:after="160"/>
        <w:jc w:val="center"/>
        <w:textAlignment w:val="auto"/>
        <w:rPr>
          <w:rFonts w:ascii="Arial" w:hAnsi="Arial" w:cs="Arial"/>
          <w:b/>
          <w:bCs/>
        </w:rPr>
      </w:pPr>
      <w:r w:rsidRPr="0075584A">
        <w:rPr>
          <w:rFonts w:ascii="Arial" w:hAnsi="Arial" w:cs="Arial"/>
          <w:b/>
          <w:bCs/>
        </w:rPr>
        <w:t xml:space="preserve"> djelatnosti dimnjačarskih poslova na području općine Jelenje</w:t>
      </w:r>
    </w:p>
    <w:p w14:paraId="37A53A8E" w14:textId="77777777" w:rsidR="0075584A" w:rsidRPr="0075584A" w:rsidRDefault="0075584A" w:rsidP="0075584A">
      <w:pPr>
        <w:suppressAutoHyphens w:val="0"/>
        <w:spacing w:after="160"/>
        <w:jc w:val="center"/>
        <w:textAlignment w:val="auto"/>
        <w:rPr>
          <w:rFonts w:ascii="Arial" w:hAnsi="Arial" w:cs="Arial"/>
        </w:rPr>
      </w:pPr>
    </w:p>
    <w:p w14:paraId="58C43632" w14:textId="77777777" w:rsidR="0075584A" w:rsidRPr="0075584A" w:rsidRDefault="00000000" w:rsidP="0075584A">
      <w:pPr>
        <w:suppressAutoHyphens w:val="0"/>
        <w:spacing w:after="160"/>
        <w:jc w:val="center"/>
        <w:textAlignment w:val="auto"/>
        <w:rPr>
          <w:rFonts w:ascii="Arial" w:hAnsi="Arial" w:cs="Arial"/>
        </w:rPr>
      </w:pPr>
      <w:r w:rsidRPr="0075584A">
        <w:rPr>
          <w:rFonts w:ascii="Arial" w:hAnsi="Arial" w:cs="Arial"/>
        </w:rPr>
        <w:t xml:space="preserve">Članak 1. </w:t>
      </w:r>
    </w:p>
    <w:p w14:paraId="7A60097B"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Koncesija za obavljanje komunalne djelatnosti dimnjačarskih poslova na području Općine Jelenje dodjeljuje se ˝KAMINO˝, Obrtu za dimnjačarske usluge, vl. Ivica Ćendo, Lipa 2E, Rijeka, OIB: 23052942965, MBO: 97718262, čija je ponuda ocijenjena kao ekonomski najpovoljnija. </w:t>
      </w:r>
    </w:p>
    <w:p w14:paraId="5158B469" w14:textId="77777777" w:rsidR="0075584A" w:rsidRPr="0075584A" w:rsidRDefault="0075584A" w:rsidP="0075584A">
      <w:pPr>
        <w:suppressAutoHyphens w:val="0"/>
        <w:spacing w:after="160"/>
        <w:jc w:val="both"/>
        <w:textAlignment w:val="auto"/>
        <w:rPr>
          <w:rFonts w:ascii="Arial" w:hAnsi="Arial" w:cs="Arial"/>
        </w:rPr>
      </w:pPr>
    </w:p>
    <w:p w14:paraId="530DFC61" w14:textId="77777777" w:rsidR="0075584A" w:rsidRPr="0075584A" w:rsidRDefault="00000000" w:rsidP="0075584A">
      <w:pPr>
        <w:suppressAutoHyphens w:val="0"/>
        <w:spacing w:after="160"/>
        <w:jc w:val="center"/>
        <w:textAlignment w:val="auto"/>
        <w:rPr>
          <w:rFonts w:ascii="Arial" w:hAnsi="Arial" w:cs="Arial"/>
        </w:rPr>
      </w:pPr>
      <w:r w:rsidRPr="0075584A">
        <w:rPr>
          <w:rFonts w:ascii="Arial" w:hAnsi="Arial" w:cs="Arial"/>
        </w:rPr>
        <w:t>Članak 2.</w:t>
      </w:r>
    </w:p>
    <w:p w14:paraId="5A980614"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Naknada za koncesiju iz članka 1. ove Odluke određuje se u visini od 300,00 EUR /slovima: tristoeura/ bez uračunatog PDV-a godišnje. </w:t>
      </w:r>
    </w:p>
    <w:p w14:paraId="152E1C3D"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Odabrani ponuditelj dužan je pružene usluge obavljanja dimnjačarskih poslova prema krajnjim korisnicima obračunavati sukladno cjeniku priloženom uz ponudu, a koji cjenik čini sastavni dio ove Odluke.</w:t>
      </w:r>
    </w:p>
    <w:p w14:paraId="24FE0403" w14:textId="77777777" w:rsidR="0075584A" w:rsidRPr="0075584A" w:rsidRDefault="0075584A" w:rsidP="0075584A">
      <w:pPr>
        <w:suppressAutoHyphens w:val="0"/>
        <w:spacing w:after="160"/>
        <w:jc w:val="both"/>
        <w:textAlignment w:val="auto"/>
        <w:rPr>
          <w:rFonts w:ascii="Arial" w:hAnsi="Arial" w:cs="Arial"/>
        </w:rPr>
      </w:pPr>
    </w:p>
    <w:p w14:paraId="3FECB53E" w14:textId="77777777" w:rsidR="0075584A" w:rsidRPr="0075584A" w:rsidRDefault="00000000" w:rsidP="0075584A">
      <w:pPr>
        <w:suppressAutoHyphens w:val="0"/>
        <w:spacing w:after="160"/>
        <w:jc w:val="center"/>
        <w:textAlignment w:val="auto"/>
        <w:rPr>
          <w:rFonts w:ascii="Arial" w:hAnsi="Arial" w:cs="Arial"/>
        </w:rPr>
      </w:pPr>
      <w:r w:rsidRPr="0075584A">
        <w:rPr>
          <w:rFonts w:ascii="Arial" w:hAnsi="Arial" w:cs="Arial"/>
        </w:rPr>
        <w:t>Članak 3.</w:t>
      </w:r>
    </w:p>
    <w:p w14:paraId="76F1D04E"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Koncesija iz članka 1. ove Odluke daje se na vremenski period od 5 /slovima: pet/ godina, počev od dana sklapanja ugovora o koncesiji, odnosno od dana stupanja na snagu ugovora o koncesiji ukoliko se taj dan razlikuje od dana sklapanja ugovora o koncesiji.</w:t>
      </w:r>
    </w:p>
    <w:p w14:paraId="35D136CC" w14:textId="77777777" w:rsidR="0075584A" w:rsidRPr="0075584A" w:rsidRDefault="0075584A" w:rsidP="0075584A">
      <w:pPr>
        <w:suppressAutoHyphens w:val="0"/>
        <w:spacing w:after="160"/>
        <w:jc w:val="both"/>
        <w:textAlignment w:val="auto"/>
        <w:rPr>
          <w:rFonts w:ascii="Arial" w:hAnsi="Arial" w:cs="Arial"/>
        </w:rPr>
      </w:pPr>
    </w:p>
    <w:p w14:paraId="363010B1" w14:textId="77777777" w:rsidR="0075584A" w:rsidRPr="0075584A" w:rsidRDefault="00000000" w:rsidP="0075584A">
      <w:pPr>
        <w:suppressAutoHyphens w:val="0"/>
        <w:spacing w:after="160"/>
        <w:jc w:val="center"/>
        <w:textAlignment w:val="auto"/>
        <w:rPr>
          <w:rFonts w:ascii="Arial" w:hAnsi="Arial" w:cs="Arial"/>
        </w:rPr>
      </w:pPr>
      <w:r w:rsidRPr="0075584A">
        <w:rPr>
          <w:rFonts w:ascii="Arial" w:hAnsi="Arial" w:cs="Arial"/>
        </w:rPr>
        <w:t>Članak 4.</w:t>
      </w:r>
    </w:p>
    <w:p w14:paraId="6CFD354F"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Ovlašćuje se Općinski načelnik Općine Jelenje da na temelju ove Odluke s odabranim ponuditeljem zaključi Ugovor o koncesiji kojim će se regulirati međusobna prava i obveze.</w:t>
      </w:r>
    </w:p>
    <w:p w14:paraId="48F2FDD4" w14:textId="77777777" w:rsidR="0075584A" w:rsidRPr="0075584A" w:rsidRDefault="0075584A" w:rsidP="0075584A">
      <w:pPr>
        <w:suppressAutoHyphens w:val="0"/>
        <w:spacing w:after="160"/>
        <w:jc w:val="both"/>
        <w:textAlignment w:val="auto"/>
        <w:rPr>
          <w:rFonts w:ascii="Arial" w:hAnsi="Arial" w:cs="Arial"/>
        </w:rPr>
      </w:pPr>
    </w:p>
    <w:p w14:paraId="2D0077AC" w14:textId="77777777" w:rsidR="0075584A" w:rsidRPr="0075584A" w:rsidRDefault="00000000" w:rsidP="0075584A">
      <w:pPr>
        <w:suppressAutoHyphens w:val="0"/>
        <w:spacing w:after="160"/>
        <w:jc w:val="center"/>
        <w:textAlignment w:val="auto"/>
        <w:rPr>
          <w:rFonts w:ascii="Arial" w:hAnsi="Arial" w:cs="Arial"/>
        </w:rPr>
      </w:pPr>
      <w:r w:rsidRPr="0075584A">
        <w:rPr>
          <w:rFonts w:ascii="Arial" w:hAnsi="Arial" w:cs="Arial"/>
        </w:rPr>
        <w:t xml:space="preserve">Članak 5. </w:t>
      </w:r>
    </w:p>
    <w:p w14:paraId="05FBCA2B"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Ova Odluka stupa na snagu danom donošenja, a objavit će se u „Službenim novinama Općine Jelenje“ i Elektroničkom oglasniku javne nabave Republike Hrvatske na standardiziranom obrascu.</w:t>
      </w:r>
    </w:p>
    <w:p w14:paraId="27878E71" w14:textId="77777777" w:rsidR="0075584A" w:rsidRPr="0075584A" w:rsidRDefault="00000000" w:rsidP="0075584A">
      <w:pPr>
        <w:suppressAutoHyphens w:val="0"/>
        <w:spacing w:after="160"/>
        <w:jc w:val="center"/>
        <w:textAlignment w:val="auto"/>
        <w:rPr>
          <w:rFonts w:ascii="Arial" w:hAnsi="Arial" w:cs="Arial"/>
        </w:rPr>
      </w:pPr>
      <w:r w:rsidRPr="0075584A">
        <w:rPr>
          <w:rFonts w:ascii="Arial" w:hAnsi="Arial" w:cs="Arial"/>
        </w:rPr>
        <w:lastRenderedPageBreak/>
        <w:t xml:space="preserve">Obrazloženje: </w:t>
      </w:r>
    </w:p>
    <w:p w14:paraId="16704F15"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Odlukom Općinskog načelnika KLASA: 363-10/24-03/5   URBROJ: 2170-20-03-03/11-24-3 od 13. prosinca 2024. godine imenovano je stručno povjerenstvo za  davanje koncesije za obavljanje dimnjačarskih poslova na području općine Jelenje ( u daljnjem  tekstu: stručno povjerenstvo). </w:t>
      </w:r>
    </w:p>
    <w:p w14:paraId="6D969DC9"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Stručno povjerenstvo izradilo je Analizu davanja koncesije za obavljanje komunalne djelatnosti dimnjačarskih poslova na području Općine Jelenje kao i prijedlog Dokumentacije za nadmetanje za dodjelu koncesije za obavljanje komunalne djelatnosti dimnjačarskih poslova na području Općine Jelenje. Temeljem provedenog istraživanja i analize tržišta  Stručno povjerenstvo je ocijenilo da je procijenjeni početni iznos godišnje  naknade za koncesiju, utvrđen u Planu davanja koncesija za 2024. godinu, previsok te  predložilo da početni godišnji iznos naknade za koncesiju smanji na 300,00 eura. Prijedlog analize davanja koncesije te prijedlog Dokumentacije za nadmetanje od prihvaćen je od strane Općinskog načelnika.</w:t>
      </w:r>
    </w:p>
    <w:p w14:paraId="46301AF6"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 Slijedom navedenog, u Elektroničkom oglasniku javne nabave republike Hrvatske ( u daljnjem tekstu: EOJN RH) dana 20. prosinca  2024. godine, objavljenja je Obavijest o namjeri davanja koncesije za obavljanje komunalne djelatnosti dimnjačarskih poslova na području Općine Jelenje.</w:t>
      </w:r>
    </w:p>
    <w:p w14:paraId="3E871B6B"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U otvorenom roku za dostavu ponuda, zaključno do 21.01.2025 do 11:00:00 sati, od strane Stručnog povjerenstva za koncesiju utvrđeno je da je pravodobno pristigla jedna ponuda, i to ponuda ˝KAMINO˝, obrt za dimnjačarske usluge vl. Ivica Ćendo, Lipa 2E, Rijeka, što je utvrđeno Zapisnikom o javnom otvaranju ponuda KLASA: 363-10/24-03/5 URBROJ:2170-20-03-03/11-24-4, od 21.siječnja 2025. godine. </w:t>
      </w:r>
    </w:p>
    <w:p w14:paraId="6033BFB8"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Nakon otvaranja ponuda Stručno povjerenstvo za koncesiju pristupilo je pregledu i ocjeni ponuda na temelju uvjeta i kriterija iz dokumentacije za nadmetanje.</w:t>
      </w:r>
    </w:p>
    <w:p w14:paraId="3C4EEC9B" w14:textId="77777777" w:rsidR="0075584A" w:rsidRPr="0075584A" w:rsidRDefault="00000000" w:rsidP="0075584A">
      <w:pPr>
        <w:suppressAutoHyphens w:val="0"/>
        <w:spacing w:after="160"/>
        <w:jc w:val="both"/>
        <w:textAlignment w:val="auto"/>
        <w:rPr>
          <w:rFonts w:ascii="Arial" w:hAnsi="Arial" w:cs="Arial"/>
          <w:highlight w:val="yellow"/>
        </w:rPr>
      </w:pPr>
      <w:r w:rsidRPr="0075584A">
        <w:rPr>
          <w:rFonts w:ascii="Arial" w:hAnsi="Arial" w:cs="Arial"/>
        </w:rPr>
        <w:t>Pregledom dostavljene ponude te ocjeni iste u skladu s ispunjavanjem kriterija za kvalitativni   odabir iz Dokumentacije za nadmetanje, jednoglasnim zaključkom članova Stručnog povjerenstva  zaključeno je ne postoje osnove za isključenje ponuditelja iz točke 3. Razlozi za isključenje gospodarskih subjekata te da je ponuditelj dokazao ispunjavanje uvjeta</w:t>
      </w:r>
      <w:r w:rsidRPr="0075584A">
        <w:t xml:space="preserve"> </w:t>
      </w:r>
      <w:r w:rsidRPr="0075584A">
        <w:rPr>
          <w:rFonts w:ascii="Arial" w:hAnsi="Arial" w:cs="Arial"/>
        </w:rPr>
        <w:t xml:space="preserve">pravne i poslovne, financijske te tehničke i stručne sposobnosti iz točke 4. Dokumentacije za nadmetanje. Stručno povjerenstvo utvrdilo je da je ponuda ponuditelja ˝KAMINO˝, obrt za dimnjačarske usluge vl. Ivica Ćendo, Lipa 2E, Rijeka,  ekonomski najpovoljnija prema kriterijima za odabir ponude iz Dokumentacije o nabavi, a što je utvrđeno Zapisnikom o pregledu i ocjeni ponuda KLASA: 363-10/24-03/5 URBROJ:2170-20-03-03/11-24-5, od 21.siječnja 2025. godine. </w:t>
      </w:r>
    </w:p>
    <w:p w14:paraId="3AD7CC54"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 Slijedom navedenog, u skladu s Planom davanja koncesija na području Općine Jelenje za 2024. godinu, a temeljem članka 49. stavka 1. Zakona o koncesijama („Narodne novine“, broj 69/17, 107/20 te članka 10. stavak 4. Odluke o komunalnim o djelatnostima na području Općine Jelenje  (“Službene novine Općine Jelenje” broj 20/19, 26/19 i 41/21) odlučeno je kao u izreci ove Odluke.</w:t>
      </w:r>
    </w:p>
    <w:p w14:paraId="03C67A13" w14:textId="77777777" w:rsidR="0075584A" w:rsidRPr="0075584A" w:rsidRDefault="00000000" w:rsidP="0075584A">
      <w:pPr>
        <w:suppressAutoHyphens w:val="0"/>
        <w:spacing w:after="160"/>
        <w:jc w:val="both"/>
        <w:textAlignment w:val="auto"/>
        <w:rPr>
          <w:rFonts w:ascii="Arial" w:hAnsi="Arial" w:cs="Arial"/>
        </w:rPr>
      </w:pPr>
      <w:r w:rsidRPr="0075584A">
        <w:rPr>
          <w:rFonts w:ascii="Arial" w:hAnsi="Arial" w:cs="Arial"/>
        </w:rPr>
        <w:t xml:space="preserve">UPUTA O PRAVNOM LIJEKU: Protiv ove Odluke može se izjaviti žalba Državnoj komisiji za kontrolu postupaka javne nabave u roku od 10 dana od dana primitka odluke. Žalba se  dostavlja elektroničkim sredstvima komunikacije putem međusobno povezanih informacijskih </w:t>
      </w:r>
      <w:r w:rsidRPr="0075584A">
        <w:rPr>
          <w:rFonts w:ascii="Arial" w:hAnsi="Arial" w:cs="Arial"/>
        </w:rPr>
        <w:lastRenderedPageBreak/>
        <w:t>sustava Državne komisije i EOJN RH. Žalbeni postupak provodi se u skladu s odredbama propisa kojima se uređuje javna nabava, a koje se odnose na otvoreni postupak.</w:t>
      </w:r>
    </w:p>
    <w:p w14:paraId="7045F049" w14:textId="77777777" w:rsidR="0075584A" w:rsidRPr="0075584A" w:rsidRDefault="0075584A" w:rsidP="0075584A">
      <w:pPr>
        <w:suppressAutoHyphens w:val="0"/>
        <w:spacing w:after="160"/>
        <w:jc w:val="both"/>
        <w:textAlignment w:val="auto"/>
        <w:rPr>
          <w:rFonts w:ascii="Arial"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763"/>
      </w:tblGrid>
      <w:tr w:rsidR="00285770" w14:paraId="2C52F8F0" w14:textId="77777777" w:rsidTr="00C70D5D">
        <w:tc>
          <w:tcPr>
            <w:tcW w:w="1023" w:type="dxa"/>
            <w:hideMark/>
          </w:tcPr>
          <w:p w14:paraId="52710729" w14:textId="77777777" w:rsidR="0075584A" w:rsidRPr="004807FC" w:rsidRDefault="00000000" w:rsidP="00C70D5D">
            <w:pPr>
              <w:jc w:val="both"/>
              <w:rPr>
                <w:rFonts w:ascii="Arial" w:eastAsia="Times New Roman" w:hAnsi="Arial" w:cs="Arial"/>
                <w:bCs/>
                <w:lang w:eastAsia="hr-HR"/>
              </w:rPr>
            </w:pPr>
            <w:r w:rsidRPr="004807FC">
              <w:rPr>
                <w:rFonts w:ascii="Arial" w:eastAsia="Times New Roman" w:hAnsi="Arial" w:cs="Arial"/>
                <w:bCs/>
                <w:lang w:eastAsia="hr-HR"/>
              </w:rPr>
              <w:t>KLASA:</w:t>
            </w:r>
          </w:p>
        </w:tc>
        <w:tc>
          <w:tcPr>
            <w:tcW w:w="3763" w:type="dxa"/>
            <w:hideMark/>
          </w:tcPr>
          <w:p w14:paraId="552CA216" w14:textId="77777777" w:rsidR="0075584A" w:rsidRPr="004807FC" w:rsidRDefault="00000000" w:rsidP="00C70D5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Klasa"/>
                  <w:enabled/>
                  <w:calcOnExit w:val="0"/>
                  <w:textInput/>
                </w:ffData>
              </w:fldChar>
            </w:r>
            <w:bookmarkStart w:id="0" w:name="Klasa"/>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024-04/25-01/1</w:t>
            </w:r>
            <w:r w:rsidRPr="004807FC">
              <w:rPr>
                <w:rFonts w:ascii="Arial" w:hAnsi="Arial" w:cs="Arial"/>
              </w:rPr>
              <w:fldChar w:fldCharType="end"/>
            </w:r>
            <w:bookmarkEnd w:id="0"/>
          </w:p>
        </w:tc>
      </w:tr>
      <w:tr w:rsidR="00285770" w14:paraId="34CCD01B" w14:textId="77777777" w:rsidTr="00C70D5D">
        <w:tc>
          <w:tcPr>
            <w:tcW w:w="1023" w:type="dxa"/>
            <w:hideMark/>
          </w:tcPr>
          <w:p w14:paraId="0624EBF4" w14:textId="77777777" w:rsidR="0075584A" w:rsidRPr="004807FC" w:rsidRDefault="00000000" w:rsidP="00C70D5D">
            <w:pPr>
              <w:jc w:val="both"/>
              <w:rPr>
                <w:rFonts w:ascii="Arial" w:eastAsia="Times New Roman" w:hAnsi="Arial" w:cs="Arial"/>
                <w:bCs/>
                <w:lang w:eastAsia="hr-HR"/>
              </w:rPr>
            </w:pPr>
            <w:r w:rsidRPr="004807FC">
              <w:rPr>
                <w:rFonts w:ascii="Arial" w:eastAsia="Times New Roman" w:hAnsi="Arial" w:cs="Arial"/>
                <w:bCs/>
                <w:lang w:eastAsia="hr-HR"/>
              </w:rPr>
              <w:t>URBROJ:</w:t>
            </w:r>
          </w:p>
        </w:tc>
        <w:tc>
          <w:tcPr>
            <w:tcW w:w="3763" w:type="dxa"/>
            <w:hideMark/>
          </w:tcPr>
          <w:p w14:paraId="517C9E2C" w14:textId="77777777" w:rsidR="0075584A" w:rsidRPr="004807FC" w:rsidRDefault="00000000" w:rsidP="00C70D5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Urbroj"/>
                  <w:enabled/>
                  <w:calcOnExit w:val="0"/>
                  <w:textInput/>
                </w:ffData>
              </w:fldChar>
            </w:r>
            <w:bookmarkStart w:id="1" w:name="Urbroj"/>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2170-20-03-01/03-25-18</w:t>
            </w:r>
            <w:r w:rsidRPr="004807FC">
              <w:rPr>
                <w:rFonts w:ascii="Arial" w:hAnsi="Arial" w:cs="Arial"/>
              </w:rPr>
              <w:fldChar w:fldCharType="end"/>
            </w:r>
            <w:bookmarkEnd w:id="1"/>
          </w:p>
        </w:tc>
      </w:tr>
      <w:tr w:rsidR="00285770" w14:paraId="59FF05D6" w14:textId="77777777" w:rsidTr="00C70D5D">
        <w:tc>
          <w:tcPr>
            <w:tcW w:w="1023" w:type="dxa"/>
            <w:hideMark/>
          </w:tcPr>
          <w:p w14:paraId="305878A5" w14:textId="77777777" w:rsidR="0075584A" w:rsidRPr="004807FC" w:rsidRDefault="00000000" w:rsidP="00C70D5D">
            <w:pPr>
              <w:jc w:val="both"/>
              <w:rPr>
                <w:rFonts w:ascii="Arial" w:eastAsia="Times New Roman" w:hAnsi="Arial" w:cs="Arial"/>
                <w:bCs/>
                <w:lang w:eastAsia="hr-HR"/>
              </w:rPr>
            </w:pPr>
            <w:r w:rsidRPr="004807FC">
              <w:rPr>
                <w:rFonts w:ascii="Arial" w:eastAsia="Times New Roman" w:hAnsi="Arial" w:cs="Arial"/>
                <w:bCs/>
                <w:lang w:eastAsia="hr-HR"/>
              </w:rPr>
              <w:t>Dražice,</w:t>
            </w:r>
          </w:p>
        </w:tc>
        <w:tc>
          <w:tcPr>
            <w:tcW w:w="3763" w:type="dxa"/>
            <w:hideMark/>
          </w:tcPr>
          <w:p w14:paraId="4D192DCE" w14:textId="77777777" w:rsidR="0075584A" w:rsidRPr="004807FC" w:rsidRDefault="00000000" w:rsidP="00C70D5D">
            <w:pPr>
              <w:jc w:val="both"/>
              <w:rPr>
                <w:rFonts w:ascii="Arial" w:eastAsia="Times New Roman" w:hAnsi="Arial" w:cs="Arial"/>
                <w:b/>
                <w:bCs/>
                <w:lang w:eastAsia="hr-HR"/>
              </w:rPr>
            </w:pPr>
            <w:r w:rsidRPr="004807FC">
              <w:rPr>
                <w:rFonts w:ascii="Arial" w:eastAsia="Times New Roman" w:hAnsi="Arial" w:cs="Arial"/>
                <w:b/>
                <w:bCs/>
                <w:lang w:eastAsia="hr-HR"/>
              </w:rPr>
              <w:fldChar w:fldCharType="begin">
                <w:ffData>
                  <w:name w:val="Datum"/>
                  <w:enabled/>
                  <w:calcOnExit w:val="0"/>
                  <w:textInput/>
                </w:ffData>
              </w:fldChar>
            </w:r>
            <w:bookmarkStart w:id="2" w:name="Datum"/>
            <w:r w:rsidRPr="004807FC">
              <w:rPr>
                <w:rFonts w:ascii="Arial" w:eastAsia="Times New Roman" w:hAnsi="Arial" w:cs="Arial"/>
                <w:b/>
                <w:bCs/>
                <w:lang w:eastAsia="hr-HR"/>
              </w:rPr>
              <w:instrText xml:space="preserve"> FORMTEXT </w:instrText>
            </w:r>
            <w:r w:rsidRPr="004807FC">
              <w:rPr>
                <w:rFonts w:ascii="Arial" w:eastAsia="Times New Roman" w:hAnsi="Arial" w:cs="Arial"/>
                <w:b/>
                <w:bCs/>
                <w:lang w:eastAsia="hr-HR"/>
              </w:rPr>
            </w:r>
            <w:r w:rsidRPr="004807FC">
              <w:rPr>
                <w:rFonts w:ascii="Arial" w:eastAsia="Times New Roman" w:hAnsi="Arial" w:cs="Arial"/>
                <w:b/>
                <w:bCs/>
                <w:lang w:eastAsia="hr-HR"/>
              </w:rPr>
              <w:fldChar w:fldCharType="separate"/>
            </w:r>
            <w:r w:rsidRPr="004807FC">
              <w:rPr>
                <w:rFonts w:ascii="Arial" w:eastAsia="Times New Roman" w:hAnsi="Arial" w:cs="Arial"/>
                <w:b/>
                <w:bCs/>
                <w:noProof/>
                <w:lang w:eastAsia="hr-HR"/>
              </w:rPr>
              <w:t>27. veljače 2025.</w:t>
            </w:r>
            <w:r w:rsidRPr="004807FC">
              <w:rPr>
                <w:rFonts w:ascii="Arial" w:hAnsi="Arial" w:cs="Arial"/>
              </w:rPr>
              <w:fldChar w:fldCharType="end"/>
            </w:r>
            <w:bookmarkEnd w:id="2"/>
          </w:p>
        </w:tc>
      </w:tr>
    </w:tbl>
    <w:p w14:paraId="18E75DF9" w14:textId="77777777" w:rsidR="0075584A" w:rsidRPr="0075584A" w:rsidRDefault="0075584A" w:rsidP="0075584A">
      <w:pPr>
        <w:suppressAutoHyphens w:val="0"/>
        <w:spacing w:after="160"/>
        <w:jc w:val="right"/>
        <w:textAlignment w:val="auto"/>
        <w:rPr>
          <w:rFonts w:ascii="Arial" w:hAnsi="Arial" w:cs="Arial"/>
        </w:rPr>
      </w:pPr>
    </w:p>
    <w:p w14:paraId="45BFE95C" w14:textId="77777777" w:rsidR="0075584A" w:rsidRDefault="00000000" w:rsidP="0075584A">
      <w:pPr>
        <w:suppressAutoHyphens w:val="0"/>
        <w:spacing w:after="160"/>
        <w:jc w:val="right"/>
        <w:textAlignment w:val="auto"/>
        <w:rPr>
          <w:rFonts w:ascii="Arial" w:hAnsi="Arial" w:cs="Arial"/>
        </w:rPr>
      </w:pPr>
      <w:r>
        <w:rPr>
          <w:rFonts w:ascii="Arial" w:hAnsi="Arial" w:cs="Arial"/>
        </w:rPr>
        <w:t>PREDSJEDNICA OPĆINSKOG VIJEĆA</w:t>
      </w:r>
    </w:p>
    <w:p w14:paraId="7F0CD7A5" w14:textId="3D281524" w:rsidR="0075584A" w:rsidRPr="0075584A" w:rsidRDefault="00000000" w:rsidP="0075584A">
      <w:pPr>
        <w:suppressAutoHyphens w:val="0"/>
        <w:spacing w:after="160"/>
        <w:jc w:val="right"/>
        <w:textAlignment w:val="auto"/>
        <w:rPr>
          <w:rFonts w:ascii="Arial" w:hAnsi="Arial" w:cs="Arial"/>
        </w:rPr>
      </w:pPr>
      <w:r w:rsidRPr="0075584A">
        <w:rPr>
          <w:rFonts w:ascii="Arial" w:hAnsi="Arial" w:cs="Arial"/>
        </w:rPr>
        <w:t xml:space="preserve"> OPĆINE JELENJE</w:t>
      </w:r>
    </w:p>
    <w:p w14:paraId="1B1308CA" w14:textId="6BCF92E9" w:rsidR="00496E95" w:rsidRDefault="00000000" w:rsidP="0075584A">
      <w:pPr>
        <w:suppressAutoHyphens w:val="0"/>
        <w:spacing w:before="180" w:after="0"/>
        <w:ind w:left="10" w:hanging="10"/>
        <w:jc w:val="right"/>
        <w:textAlignment w:val="auto"/>
        <w:rPr>
          <w:rFonts w:ascii="Arial" w:eastAsia="Times New Roman" w:hAnsi="Arial" w:cs="Arial"/>
          <w:lang w:eastAsia="hr-HR"/>
        </w:rPr>
      </w:pPr>
      <w:r>
        <w:rPr>
          <w:rFonts w:ascii="Arial" w:eastAsia="Arial" w:hAnsi="Arial" w:cs="Arial"/>
          <w:color w:val="000000"/>
          <w:kern w:val="2"/>
          <w:lang w:eastAsia="hr-HR"/>
          <w14:ligatures w14:val="standardContextual"/>
        </w:rPr>
        <w:t xml:space="preserve">   </w:t>
      </w:r>
      <w:r w:rsidRPr="0075584A">
        <w:rPr>
          <w:rFonts w:ascii="Arial" w:eastAsia="Arial" w:hAnsi="Arial" w:cs="Arial"/>
          <w:color w:val="000000"/>
          <w:kern w:val="2"/>
          <w:lang w:eastAsia="hr-HR"/>
          <w14:ligatures w14:val="standardContextual"/>
        </w:rPr>
        <w:t xml:space="preserve">    Izabela Nemaz</w:t>
      </w:r>
    </w:p>
    <w:sectPr w:rsidR="00496E95"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C72E3"/>
    <w:multiLevelType w:val="hybridMultilevel"/>
    <w:tmpl w:val="AFB412E6"/>
    <w:lvl w:ilvl="0" w:tplc="5F1C0FF8">
      <w:numFmt w:val="bullet"/>
      <w:lvlText w:val="-"/>
      <w:lvlJc w:val="left"/>
      <w:pPr>
        <w:ind w:left="720" w:hanging="360"/>
      </w:pPr>
      <w:rPr>
        <w:rFonts w:ascii="Times New Roman" w:eastAsia="Times New Roman" w:hAnsi="Times New Roman" w:cs="Times New Roman" w:hint="default"/>
      </w:rPr>
    </w:lvl>
    <w:lvl w:ilvl="1" w:tplc="DE8C2254" w:tentative="1">
      <w:start w:val="1"/>
      <w:numFmt w:val="bullet"/>
      <w:lvlText w:val="o"/>
      <w:lvlJc w:val="left"/>
      <w:pPr>
        <w:ind w:left="1440" w:hanging="360"/>
      </w:pPr>
      <w:rPr>
        <w:rFonts w:ascii="Courier New" w:hAnsi="Courier New" w:cs="Courier New" w:hint="default"/>
      </w:rPr>
    </w:lvl>
    <w:lvl w:ilvl="2" w:tplc="63B221A6" w:tentative="1">
      <w:start w:val="1"/>
      <w:numFmt w:val="bullet"/>
      <w:lvlText w:val=""/>
      <w:lvlJc w:val="left"/>
      <w:pPr>
        <w:ind w:left="2160" w:hanging="360"/>
      </w:pPr>
      <w:rPr>
        <w:rFonts w:ascii="Wingdings" w:hAnsi="Wingdings" w:hint="default"/>
      </w:rPr>
    </w:lvl>
    <w:lvl w:ilvl="3" w:tplc="46603D52" w:tentative="1">
      <w:start w:val="1"/>
      <w:numFmt w:val="bullet"/>
      <w:lvlText w:val=""/>
      <w:lvlJc w:val="left"/>
      <w:pPr>
        <w:ind w:left="2880" w:hanging="360"/>
      </w:pPr>
      <w:rPr>
        <w:rFonts w:ascii="Symbol" w:hAnsi="Symbol" w:hint="default"/>
      </w:rPr>
    </w:lvl>
    <w:lvl w:ilvl="4" w:tplc="BBD439C6" w:tentative="1">
      <w:start w:val="1"/>
      <w:numFmt w:val="bullet"/>
      <w:lvlText w:val="o"/>
      <w:lvlJc w:val="left"/>
      <w:pPr>
        <w:ind w:left="3600" w:hanging="360"/>
      </w:pPr>
      <w:rPr>
        <w:rFonts w:ascii="Courier New" w:hAnsi="Courier New" w:cs="Courier New" w:hint="default"/>
      </w:rPr>
    </w:lvl>
    <w:lvl w:ilvl="5" w:tplc="E460CCD8" w:tentative="1">
      <w:start w:val="1"/>
      <w:numFmt w:val="bullet"/>
      <w:lvlText w:val=""/>
      <w:lvlJc w:val="left"/>
      <w:pPr>
        <w:ind w:left="4320" w:hanging="360"/>
      </w:pPr>
      <w:rPr>
        <w:rFonts w:ascii="Wingdings" w:hAnsi="Wingdings" w:hint="default"/>
      </w:rPr>
    </w:lvl>
    <w:lvl w:ilvl="6" w:tplc="F1F87970" w:tentative="1">
      <w:start w:val="1"/>
      <w:numFmt w:val="bullet"/>
      <w:lvlText w:val=""/>
      <w:lvlJc w:val="left"/>
      <w:pPr>
        <w:ind w:left="5040" w:hanging="360"/>
      </w:pPr>
      <w:rPr>
        <w:rFonts w:ascii="Symbol" w:hAnsi="Symbol" w:hint="default"/>
      </w:rPr>
    </w:lvl>
    <w:lvl w:ilvl="7" w:tplc="25C081C2" w:tentative="1">
      <w:start w:val="1"/>
      <w:numFmt w:val="bullet"/>
      <w:lvlText w:val="o"/>
      <w:lvlJc w:val="left"/>
      <w:pPr>
        <w:ind w:left="5760" w:hanging="360"/>
      </w:pPr>
      <w:rPr>
        <w:rFonts w:ascii="Courier New" w:hAnsi="Courier New" w:cs="Courier New" w:hint="default"/>
      </w:rPr>
    </w:lvl>
    <w:lvl w:ilvl="8" w:tplc="912A7F3A" w:tentative="1">
      <w:start w:val="1"/>
      <w:numFmt w:val="bullet"/>
      <w:lvlText w:val=""/>
      <w:lvlJc w:val="left"/>
      <w:pPr>
        <w:ind w:left="6480" w:hanging="360"/>
      </w:pPr>
      <w:rPr>
        <w:rFonts w:ascii="Wingdings" w:hAnsi="Wingdings" w:hint="default"/>
      </w:rPr>
    </w:lvl>
  </w:abstractNum>
  <w:abstractNum w:abstractNumId="1" w15:restartNumberingAfterBreak="0">
    <w:nsid w:val="40C57468"/>
    <w:multiLevelType w:val="hybridMultilevel"/>
    <w:tmpl w:val="D2AEF6D0"/>
    <w:lvl w:ilvl="0" w:tplc="1944A902">
      <w:numFmt w:val="bullet"/>
      <w:lvlText w:val="-"/>
      <w:lvlJc w:val="left"/>
      <w:pPr>
        <w:ind w:left="1380" w:hanging="360"/>
      </w:pPr>
      <w:rPr>
        <w:rFonts w:ascii="Times New Roman" w:eastAsia="Times New Roman" w:hAnsi="Times New Roman" w:cs="Times New Roman" w:hint="default"/>
      </w:rPr>
    </w:lvl>
    <w:lvl w:ilvl="1" w:tplc="5958F0CA" w:tentative="1">
      <w:start w:val="1"/>
      <w:numFmt w:val="bullet"/>
      <w:lvlText w:val="o"/>
      <w:lvlJc w:val="left"/>
      <w:pPr>
        <w:ind w:left="2100" w:hanging="360"/>
      </w:pPr>
      <w:rPr>
        <w:rFonts w:ascii="Courier New" w:hAnsi="Courier New" w:cs="Courier New" w:hint="default"/>
      </w:rPr>
    </w:lvl>
    <w:lvl w:ilvl="2" w:tplc="23BA16A2" w:tentative="1">
      <w:start w:val="1"/>
      <w:numFmt w:val="bullet"/>
      <w:lvlText w:val=""/>
      <w:lvlJc w:val="left"/>
      <w:pPr>
        <w:ind w:left="2820" w:hanging="360"/>
      </w:pPr>
      <w:rPr>
        <w:rFonts w:ascii="Wingdings" w:hAnsi="Wingdings" w:hint="default"/>
      </w:rPr>
    </w:lvl>
    <w:lvl w:ilvl="3" w:tplc="B6D8ED7A" w:tentative="1">
      <w:start w:val="1"/>
      <w:numFmt w:val="bullet"/>
      <w:lvlText w:val=""/>
      <w:lvlJc w:val="left"/>
      <w:pPr>
        <w:ind w:left="3540" w:hanging="360"/>
      </w:pPr>
      <w:rPr>
        <w:rFonts w:ascii="Symbol" w:hAnsi="Symbol" w:hint="default"/>
      </w:rPr>
    </w:lvl>
    <w:lvl w:ilvl="4" w:tplc="DEF61946" w:tentative="1">
      <w:start w:val="1"/>
      <w:numFmt w:val="bullet"/>
      <w:lvlText w:val="o"/>
      <w:lvlJc w:val="left"/>
      <w:pPr>
        <w:ind w:left="4260" w:hanging="360"/>
      </w:pPr>
      <w:rPr>
        <w:rFonts w:ascii="Courier New" w:hAnsi="Courier New" w:cs="Courier New" w:hint="default"/>
      </w:rPr>
    </w:lvl>
    <w:lvl w:ilvl="5" w:tplc="E6B8A7C2" w:tentative="1">
      <w:start w:val="1"/>
      <w:numFmt w:val="bullet"/>
      <w:lvlText w:val=""/>
      <w:lvlJc w:val="left"/>
      <w:pPr>
        <w:ind w:left="4980" w:hanging="360"/>
      </w:pPr>
      <w:rPr>
        <w:rFonts w:ascii="Wingdings" w:hAnsi="Wingdings" w:hint="default"/>
      </w:rPr>
    </w:lvl>
    <w:lvl w:ilvl="6" w:tplc="440C1506" w:tentative="1">
      <w:start w:val="1"/>
      <w:numFmt w:val="bullet"/>
      <w:lvlText w:val=""/>
      <w:lvlJc w:val="left"/>
      <w:pPr>
        <w:ind w:left="5700" w:hanging="360"/>
      </w:pPr>
      <w:rPr>
        <w:rFonts w:ascii="Symbol" w:hAnsi="Symbol" w:hint="default"/>
      </w:rPr>
    </w:lvl>
    <w:lvl w:ilvl="7" w:tplc="F5928D12" w:tentative="1">
      <w:start w:val="1"/>
      <w:numFmt w:val="bullet"/>
      <w:lvlText w:val="o"/>
      <w:lvlJc w:val="left"/>
      <w:pPr>
        <w:ind w:left="6420" w:hanging="360"/>
      </w:pPr>
      <w:rPr>
        <w:rFonts w:ascii="Courier New" w:hAnsi="Courier New" w:cs="Courier New" w:hint="default"/>
      </w:rPr>
    </w:lvl>
    <w:lvl w:ilvl="8" w:tplc="697428AE" w:tentative="1">
      <w:start w:val="1"/>
      <w:numFmt w:val="bullet"/>
      <w:lvlText w:val=""/>
      <w:lvlJc w:val="left"/>
      <w:pPr>
        <w:ind w:left="7140" w:hanging="360"/>
      </w:pPr>
      <w:rPr>
        <w:rFonts w:ascii="Wingdings" w:hAnsi="Wingdings" w:hint="default"/>
      </w:rPr>
    </w:lvl>
  </w:abstractNum>
  <w:num w:numId="1" w16cid:durableId="1982419115">
    <w:abstractNumId w:val="0"/>
  </w:num>
  <w:num w:numId="2" w16cid:durableId="62496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A9"/>
    <w:rsid w:val="000A77E6"/>
    <w:rsid w:val="000D2A78"/>
    <w:rsid w:val="00145F1D"/>
    <w:rsid w:val="002555C1"/>
    <w:rsid w:val="00266706"/>
    <w:rsid w:val="00285770"/>
    <w:rsid w:val="002A3DFF"/>
    <w:rsid w:val="003316D9"/>
    <w:rsid w:val="00341AF9"/>
    <w:rsid w:val="0038657E"/>
    <w:rsid w:val="003F2E3A"/>
    <w:rsid w:val="00464030"/>
    <w:rsid w:val="004807FC"/>
    <w:rsid w:val="00496E95"/>
    <w:rsid w:val="004A683B"/>
    <w:rsid w:val="00532B20"/>
    <w:rsid w:val="00535989"/>
    <w:rsid w:val="005563E0"/>
    <w:rsid w:val="005A324D"/>
    <w:rsid w:val="00666163"/>
    <w:rsid w:val="006837E4"/>
    <w:rsid w:val="0074334F"/>
    <w:rsid w:val="0075584A"/>
    <w:rsid w:val="00760CD3"/>
    <w:rsid w:val="008623DE"/>
    <w:rsid w:val="008674C8"/>
    <w:rsid w:val="008765B7"/>
    <w:rsid w:val="008C7BB1"/>
    <w:rsid w:val="008D74A9"/>
    <w:rsid w:val="00926781"/>
    <w:rsid w:val="00952991"/>
    <w:rsid w:val="00AD49B3"/>
    <w:rsid w:val="00B349D1"/>
    <w:rsid w:val="00B634DA"/>
    <w:rsid w:val="00B87D2F"/>
    <w:rsid w:val="00BE3359"/>
    <w:rsid w:val="00BF5729"/>
    <w:rsid w:val="00C37878"/>
    <w:rsid w:val="00C70D5D"/>
    <w:rsid w:val="00D2181B"/>
    <w:rsid w:val="00D9622C"/>
    <w:rsid w:val="00DD558A"/>
    <w:rsid w:val="00E2769D"/>
    <w:rsid w:val="00E35D43"/>
    <w:rsid w:val="00FA1E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BD7"/>
  <w15:docId w15:val="{41381F37-B676-4544-A6DB-38D7319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535989"/>
    <w:pPr>
      <w:suppressAutoHyphens/>
      <w:autoSpaceDN w:val="0"/>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D74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74A9"/>
    <w:rPr>
      <w:rFonts w:ascii="Tahoma" w:eastAsia="Calibri" w:hAnsi="Tahoma" w:cs="Tahoma"/>
      <w:sz w:val="16"/>
      <w:szCs w:val="16"/>
    </w:rPr>
  </w:style>
  <w:style w:type="paragraph" w:styleId="Odlomakpopisa">
    <w:name w:val="List Paragraph"/>
    <w:basedOn w:val="Normal"/>
    <w:uiPriority w:val="34"/>
    <w:qFormat/>
    <w:rsid w:val="006837E4"/>
    <w:pPr>
      <w:ind w:left="720"/>
      <w:contextualSpacing/>
    </w:pPr>
  </w:style>
  <w:style w:type="paragraph" w:styleId="Zaglavlje">
    <w:name w:val="header"/>
    <w:basedOn w:val="Normal"/>
    <w:link w:val="ZaglavljeChar"/>
    <w:uiPriority w:val="99"/>
    <w:unhideWhenUsed/>
    <w:rsid w:val="003F2E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E3A"/>
    <w:rPr>
      <w:rFonts w:ascii="Calibri" w:eastAsia="Calibri" w:hAnsi="Calibri" w:cs="Times New Roman"/>
    </w:rPr>
  </w:style>
  <w:style w:type="paragraph" w:styleId="Podnoje">
    <w:name w:val="footer"/>
    <w:basedOn w:val="Normal"/>
    <w:link w:val="PodnojeChar"/>
    <w:uiPriority w:val="99"/>
    <w:unhideWhenUsed/>
    <w:rsid w:val="003F2E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E3A"/>
    <w:rPr>
      <w:rFonts w:ascii="Calibri" w:eastAsia="Calibri" w:hAnsi="Calibri" w:cs="Times New Roman"/>
    </w:rPr>
  </w:style>
  <w:style w:type="table" w:styleId="Reetkatablice">
    <w:name w:val="Table Grid"/>
    <w:basedOn w:val="Obinatablica"/>
    <w:uiPriority w:val="59"/>
    <w:rsid w:val="0025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4680</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Gortan</dc:creator>
  <cp:lastModifiedBy>Martina Perhat</cp:lastModifiedBy>
  <cp:revision>2</cp:revision>
  <cp:lastPrinted>2022-12-12T07:50:00Z</cp:lastPrinted>
  <dcterms:created xsi:type="dcterms:W3CDTF">2025-02-27T09:44:00Z</dcterms:created>
  <dcterms:modified xsi:type="dcterms:W3CDTF">2025-02-27T09:44:00Z</dcterms:modified>
</cp:coreProperties>
</file>