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629F44" w14:textId="119F608C" w:rsidR="00EC4BCD" w:rsidRPr="00EC4BCD" w:rsidRDefault="00EC4BCD" w:rsidP="00EC4BCD">
      <w:pPr>
        <w:spacing w:after="120" w:line="276" w:lineRule="auto"/>
        <w:jc w:val="center"/>
        <w:rPr>
          <w:rFonts w:eastAsia="Times New Roman" w:cs="Arial"/>
          <w:b/>
          <w:bCs/>
          <w:spacing w:val="20"/>
          <w:sz w:val="36"/>
          <w:szCs w:val="36"/>
          <w:lang w:eastAsia="hr-HR"/>
        </w:rPr>
      </w:pPr>
      <w:r w:rsidRPr="00EC4BCD">
        <w:rPr>
          <w:rFonts w:eastAsia="Times New Roman" w:cs="Arial"/>
          <w:b/>
          <w:bCs/>
          <w:spacing w:val="20"/>
          <w:sz w:val="36"/>
          <w:szCs w:val="36"/>
          <w:lang w:eastAsia="hr-HR"/>
        </w:rPr>
        <w:t xml:space="preserve">Točka </w:t>
      </w:r>
      <w:r>
        <w:rPr>
          <w:rFonts w:eastAsia="Times New Roman" w:cs="Arial"/>
          <w:b/>
          <w:bCs/>
          <w:spacing w:val="20"/>
          <w:sz w:val="36"/>
          <w:szCs w:val="36"/>
          <w:lang w:eastAsia="hr-HR"/>
        </w:rPr>
        <w:t>11</w:t>
      </w:r>
      <w:r w:rsidRPr="00EC4BCD">
        <w:rPr>
          <w:rFonts w:eastAsia="Times New Roman" w:cs="Arial"/>
          <w:b/>
          <w:bCs/>
          <w:spacing w:val="20"/>
          <w:sz w:val="36"/>
          <w:szCs w:val="36"/>
          <w:lang w:eastAsia="hr-HR"/>
        </w:rPr>
        <w:t>.</w:t>
      </w:r>
    </w:p>
    <w:p w14:paraId="5E84BBB5" w14:textId="77777777" w:rsidR="00EC4BCD" w:rsidRPr="00EC4BCD" w:rsidRDefault="00EC4BCD" w:rsidP="00EC4BCD">
      <w:pPr>
        <w:spacing w:after="120" w:line="276" w:lineRule="auto"/>
        <w:rPr>
          <w:rFonts w:eastAsia="Times New Roman" w:cs="Arial"/>
          <w:sz w:val="22"/>
          <w:lang w:eastAsia="hr-HR"/>
        </w:rPr>
      </w:pPr>
    </w:p>
    <w:p w14:paraId="2521FDF3" w14:textId="77777777" w:rsidR="00EC4BCD" w:rsidRPr="00EC4BCD" w:rsidRDefault="00EC4BCD" w:rsidP="00EC4BCD">
      <w:pPr>
        <w:spacing w:after="120" w:line="276" w:lineRule="auto"/>
        <w:rPr>
          <w:rFonts w:eastAsia="Times New Roman" w:cs="Arial"/>
          <w:sz w:val="22"/>
          <w:lang w:eastAsia="hr-HR"/>
        </w:rPr>
      </w:pPr>
    </w:p>
    <w:p w14:paraId="24181C09" w14:textId="77777777" w:rsidR="00EC4BCD" w:rsidRPr="00EC4BCD" w:rsidRDefault="00EC4BCD" w:rsidP="00EC4BCD">
      <w:pPr>
        <w:spacing w:after="120" w:line="276" w:lineRule="auto"/>
        <w:rPr>
          <w:rFonts w:eastAsia="Times New Roman" w:cs="Arial"/>
          <w:sz w:val="22"/>
          <w:lang w:eastAsia="hr-HR"/>
        </w:rPr>
      </w:pPr>
    </w:p>
    <w:p w14:paraId="4BF8470E" w14:textId="77777777" w:rsidR="00EC4BCD" w:rsidRPr="00EC4BCD" w:rsidRDefault="00EC4BCD" w:rsidP="00EC4BCD">
      <w:pPr>
        <w:spacing w:after="120" w:line="276" w:lineRule="auto"/>
        <w:rPr>
          <w:rFonts w:eastAsia="Times New Roman" w:cs="Arial"/>
          <w:sz w:val="22"/>
          <w:lang w:eastAsia="hr-HR"/>
        </w:rPr>
      </w:pPr>
    </w:p>
    <w:p w14:paraId="0ECAD05C" w14:textId="77777777" w:rsidR="00EC4BCD" w:rsidRPr="00EC4BCD" w:rsidRDefault="00EC4BCD" w:rsidP="00EC4BCD">
      <w:pPr>
        <w:spacing w:after="120" w:line="276" w:lineRule="auto"/>
        <w:rPr>
          <w:rFonts w:eastAsia="Times New Roman" w:cs="Arial"/>
          <w:sz w:val="22"/>
          <w:lang w:eastAsia="hr-HR"/>
        </w:rPr>
      </w:pPr>
    </w:p>
    <w:p w14:paraId="15A81EF5" w14:textId="77777777" w:rsidR="00EC4BCD" w:rsidRPr="00EC4BCD" w:rsidRDefault="00EC4BCD" w:rsidP="00EC4BCD">
      <w:pPr>
        <w:spacing w:after="120" w:line="276" w:lineRule="auto"/>
        <w:rPr>
          <w:rFonts w:eastAsia="Times New Roman" w:cs="Arial"/>
          <w:b/>
          <w:bCs/>
          <w:spacing w:val="10"/>
          <w:sz w:val="22"/>
          <w:lang w:eastAsia="hr-HR"/>
        </w:rPr>
      </w:pPr>
    </w:p>
    <w:p w14:paraId="6DB8660E" w14:textId="77777777" w:rsidR="00EC4BCD" w:rsidRPr="00EC4BCD" w:rsidRDefault="00EC4BCD" w:rsidP="00EC4BCD">
      <w:pPr>
        <w:spacing w:after="120" w:line="276" w:lineRule="auto"/>
        <w:jc w:val="center"/>
        <w:rPr>
          <w:rFonts w:eastAsia="Times New Roman" w:cs="Arial"/>
          <w:b/>
          <w:bCs/>
          <w:spacing w:val="10"/>
          <w:sz w:val="36"/>
          <w:szCs w:val="36"/>
          <w:lang w:eastAsia="hr-HR"/>
        </w:rPr>
      </w:pPr>
      <w:r w:rsidRPr="00EC4BCD">
        <w:rPr>
          <w:rFonts w:eastAsia="Times New Roman" w:cs="Arial"/>
          <w:b/>
          <w:bCs/>
          <w:spacing w:val="10"/>
          <w:sz w:val="36"/>
          <w:szCs w:val="36"/>
          <w:lang w:eastAsia="hr-HR"/>
        </w:rPr>
        <w:t>Prijedlog</w:t>
      </w:r>
    </w:p>
    <w:p w14:paraId="56302B1C" w14:textId="77777777" w:rsidR="00EC4BCD" w:rsidRPr="00EC4BCD" w:rsidRDefault="00EC4BCD" w:rsidP="00EC4BCD">
      <w:pPr>
        <w:spacing w:after="120" w:line="276" w:lineRule="auto"/>
        <w:jc w:val="center"/>
        <w:rPr>
          <w:rFonts w:eastAsia="Times New Roman" w:cs="Arial"/>
          <w:b/>
          <w:bCs/>
          <w:spacing w:val="10"/>
          <w:sz w:val="36"/>
          <w:szCs w:val="36"/>
          <w:lang w:eastAsia="hr-HR"/>
        </w:rPr>
      </w:pPr>
    </w:p>
    <w:p w14:paraId="48E7E024" w14:textId="2C1234E1" w:rsidR="00EC4BCD" w:rsidRPr="0032243F" w:rsidRDefault="00EC4BCD" w:rsidP="00EC4BCD">
      <w:pPr>
        <w:spacing w:line="276" w:lineRule="auto"/>
        <w:jc w:val="center"/>
        <w:rPr>
          <w:rFonts w:eastAsia="Times New Roman" w:cs="Arial"/>
          <w:b/>
          <w:bCs/>
          <w:spacing w:val="10"/>
          <w:sz w:val="36"/>
          <w:szCs w:val="36"/>
          <w:lang w:eastAsia="hr-HR"/>
        </w:rPr>
      </w:pPr>
      <w:r w:rsidRPr="00EC4BCD">
        <w:rPr>
          <w:rFonts w:eastAsia="Times New Roman" w:cs="Arial"/>
          <w:b/>
          <w:bCs/>
          <w:spacing w:val="10"/>
          <w:sz w:val="36"/>
          <w:szCs w:val="36"/>
          <w:lang w:eastAsia="hr-HR"/>
        </w:rPr>
        <w:t>Odluke o donošenju II. Izmjena i dopuna Detaljnog plana uređenja zone poslovne namjene K1</w:t>
      </w:r>
      <w:r w:rsidRPr="00B87335">
        <w:rPr>
          <w:rFonts w:eastAsia="Times New Roman" w:cs="Arial"/>
          <w:b/>
          <w:bCs/>
          <w:spacing w:val="10"/>
          <w:sz w:val="36"/>
          <w:szCs w:val="36"/>
          <w:vertAlign w:val="subscript"/>
          <w:lang w:eastAsia="hr-HR"/>
        </w:rPr>
        <w:t>1</w:t>
      </w:r>
      <w:r w:rsidR="0032243F">
        <w:rPr>
          <w:rFonts w:eastAsia="Times New Roman" w:cs="Arial"/>
          <w:b/>
          <w:bCs/>
          <w:spacing w:val="10"/>
          <w:sz w:val="36"/>
          <w:szCs w:val="36"/>
          <w:vertAlign w:val="subscript"/>
          <w:lang w:eastAsia="hr-HR"/>
        </w:rPr>
        <w:t xml:space="preserve"> „</w:t>
      </w:r>
      <w:r w:rsidR="0032243F" w:rsidRPr="0032243F">
        <w:rPr>
          <w:rFonts w:eastAsia="Times New Roman" w:cs="Arial"/>
          <w:b/>
          <w:bCs/>
          <w:spacing w:val="10"/>
          <w:sz w:val="36"/>
          <w:szCs w:val="36"/>
          <w:lang w:eastAsia="hr-HR"/>
        </w:rPr>
        <w:t>Podhum</w:t>
      </w:r>
      <w:r w:rsidR="0032243F">
        <w:rPr>
          <w:rFonts w:eastAsia="Times New Roman" w:cs="Arial"/>
          <w:b/>
          <w:bCs/>
          <w:spacing w:val="10"/>
          <w:sz w:val="36"/>
          <w:szCs w:val="36"/>
          <w:lang w:eastAsia="hr-HR"/>
        </w:rPr>
        <w:t>“</w:t>
      </w:r>
    </w:p>
    <w:p w14:paraId="028E9E2C" w14:textId="77777777" w:rsidR="00EC4BCD" w:rsidRPr="00EC4BCD" w:rsidRDefault="00EC4BCD" w:rsidP="00EC4BCD">
      <w:pPr>
        <w:spacing w:after="120" w:line="276" w:lineRule="auto"/>
        <w:jc w:val="center"/>
        <w:rPr>
          <w:rFonts w:eastAsia="Times New Roman" w:cs="Arial"/>
          <w:b/>
          <w:bCs/>
          <w:spacing w:val="10"/>
          <w:sz w:val="22"/>
          <w:lang w:eastAsia="hr-HR"/>
        </w:rPr>
      </w:pPr>
      <w:r w:rsidRPr="00EC4BCD">
        <w:rPr>
          <w:rFonts w:eastAsia="Times New Roman" w:cs="Arial"/>
          <w:b/>
          <w:bCs/>
          <w:spacing w:val="10"/>
          <w:sz w:val="22"/>
          <w:lang w:eastAsia="hr-HR"/>
        </w:rPr>
        <w:t xml:space="preserve"> </w:t>
      </w:r>
    </w:p>
    <w:p w14:paraId="3456B056" w14:textId="77777777" w:rsidR="00EC4BCD" w:rsidRPr="00EC4BCD" w:rsidRDefault="00EC4BCD" w:rsidP="00EC4BCD">
      <w:pPr>
        <w:spacing w:after="120" w:line="276" w:lineRule="auto"/>
        <w:jc w:val="center"/>
        <w:rPr>
          <w:rFonts w:eastAsia="Times New Roman" w:cs="Arial"/>
          <w:b/>
          <w:bCs/>
          <w:spacing w:val="10"/>
          <w:sz w:val="22"/>
          <w:lang w:eastAsia="hr-HR"/>
        </w:rPr>
      </w:pPr>
    </w:p>
    <w:p w14:paraId="7CB7AF7A" w14:textId="77777777" w:rsidR="00EC4BCD" w:rsidRPr="00EC4BCD" w:rsidRDefault="00EC4BCD" w:rsidP="00EC4BCD">
      <w:pPr>
        <w:spacing w:after="120" w:line="276" w:lineRule="auto"/>
        <w:rPr>
          <w:rFonts w:eastAsia="Times New Roman" w:cs="Arial"/>
          <w:sz w:val="22"/>
          <w:lang w:eastAsia="hr-HR"/>
        </w:rPr>
      </w:pPr>
    </w:p>
    <w:p w14:paraId="2DD3E32B" w14:textId="77777777" w:rsidR="00EC4BCD" w:rsidRPr="00EC4BCD" w:rsidRDefault="00EC4BCD" w:rsidP="00EC4BCD">
      <w:pPr>
        <w:spacing w:after="120" w:line="276" w:lineRule="auto"/>
        <w:rPr>
          <w:rFonts w:eastAsia="Times New Roman" w:cs="Arial"/>
          <w:sz w:val="22"/>
          <w:lang w:eastAsia="hr-HR"/>
        </w:rPr>
      </w:pPr>
    </w:p>
    <w:p w14:paraId="34BEA83C" w14:textId="77777777" w:rsidR="00EC4BCD" w:rsidRPr="00EC4BCD" w:rsidRDefault="00EC4BCD" w:rsidP="00EC4BCD">
      <w:pPr>
        <w:spacing w:after="120" w:line="276" w:lineRule="auto"/>
        <w:rPr>
          <w:rFonts w:eastAsia="Times New Roman" w:cs="Arial"/>
          <w:sz w:val="22"/>
          <w:lang w:eastAsia="hr-HR"/>
        </w:rPr>
      </w:pPr>
    </w:p>
    <w:p w14:paraId="1148E7CE" w14:textId="77777777" w:rsidR="00EC4BCD" w:rsidRPr="00EC4BCD" w:rsidRDefault="00EC4BCD" w:rsidP="00EC4BCD">
      <w:pPr>
        <w:spacing w:after="120" w:line="276" w:lineRule="auto"/>
        <w:rPr>
          <w:rFonts w:eastAsia="Times New Roman" w:cs="Arial"/>
          <w:sz w:val="22"/>
          <w:lang w:eastAsia="hr-HR"/>
        </w:rPr>
      </w:pPr>
    </w:p>
    <w:p w14:paraId="34F193CB" w14:textId="77777777" w:rsidR="00EC4BCD" w:rsidRPr="00EC4BCD" w:rsidRDefault="00EC4BCD" w:rsidP="00EC4BCD">
      <w:pPr>
        <w:spacing w:after="120" w:line="276" w:lineRule="auto"/>
        <w:rPr>
          <w:rFonts w:eastAsia="Times New Roman" w:cs="Arial"/>
          <w:sz w:val="22"/>
          <w:lang w:eastAsia="hr-HR"/>
        </w:rPr>
      </w:pPr>
    </w:p>
    <w:p w14:paraId="32BF90F0" w14:textId="77777777" w:rsidR="00EC4BCD" w:rsidRPr="00EC4BCD" w:rsidRDefault="00EC4BCD" w:rsidP="00EC4BCD">
      <w:pPr>
        <w:spacing w:after="120" w:line="276" w:lineRule="auto"/>
        <w:rPr>
          <w:rFonts w:eastAsia="Times New Roman" w:cs="Arial"/>
          <w:sz w:val="22"/>
          <w:lang w:eastAsia="hr-HR"/>
        </w:rPr>
      </w:pPr>
    </w:p>
    <w:p w14:paraId="7A2817E2" w14:textId="77777777" w:rsidR="00EC4BCD" w:rsidRPr="00EC4BCD" w:rsidRDefault="00EC4BCD" w:rsidP="00EC4BCD">
      <w:pPr>
        <w:spacing w:after="120" w:line="276" w:lineRule="auto"/>
        <w:rPr>
          <w:rFonts w:eastAsia="Times New Roman" w:cs="Arial"/>
          <w:sz w:val="22"/>
          <w:lang w:eastAsia="hr-HR"/>
        </w:rPr>
      </w:pPr>
    </w:p>
    <w:p w14:paraId="6F292AFD" w14:textId="77777777" w:rsidR="00EC4BCD" w:rsidRPr="00EC4BCD" w:rsidRDefault="00EC4BCD" w:rsidP="00EC4BCD">
      <w:pPr>
        <w:spacing w:after="120" w:line="276" w:lineRule="auto"/>
        <w:rPr>
          <w:rFonts w:eastAsia="Times New Roman" w:cs="Arial"/>
          <w:sz w:val="22"/>
          <w:lang w:eastAsia="hr-HR"/>
        </w:rPr>
      </w:pPr>
    </w:p>
    <w:p w14:paraId="19632FB6" w14:textId="77777777" w:rsidR="00EC4BCD" w:rsidRPr="00EC4BCD" w:rsidRDefault="00EC4BCD" w:rsidP="00EC4BCD">
      <w:pPr>
        <w:spacing w:after="120" w:line="276" w:lineRule="auto"/>
        <w:rPr>
          <w:rFonts w:eastAsia="Times New Roman" w:cs="Arial"/>
          <w:sz w:val="22"/>
          <w:lang w:eastAsia="hr-HR"/>
        </w:rPr>
      </w:pPr>
    </w:p>
    <w:p w14:paraId="0D2A2014" w14:textId="77777777" w:rsidR="00EC4BCD" w:rsidRPr="00EC4BCD" w:rsidRDefault="00EC4BCD" w:rsidP="00EC4BCD">
      <w:pPr>
        <w:spacing w:after="120" w:line="276" w:lineRule="auto"/>
        <w:rPr>
          <w:rFonts w:eastAsia="Times New Roman" w:cs="Arial"/>
          <w:sz w:val="22"/>
          <w:lang w:eastAsia="hr-HR"/>
        </w:rPr>
      </w:pPr>
    </w:p>
    <w:p w14:paraId="241D5345" w14:textId="77777777" w:rsidR="00EC4BCD" w:rsidRPr="00EC4BCD" w:rsidRDefault="00EC4BCD" w:rsidP="00EC4BCD">
      <w:pPr>
        <w:spacing w:after="120" w:line="276" w:lineRule="auto"/>
        <w:rPr>
          <w:rFonts w:eastAsia="Times New Roman" w:cs="Arial"/>
          <w:sz w:val="22"/>
          <w:lang w:eastAsia="hr-HR"/>
        </w:rPr>
      </w:pPr>
    </w:p>
    <w:p w14:paraId="141033CB" w14:textId="77777777" w:rsidR="00EC4BCD" w:rsidRPr="00EC4BCD" w:rsidRDefault="00EC4BCD" w:rsidP="00EC4BCD">
      <w:pPr>
        <w:spacing w:after="120" w:line="276" w:lineRule="auto"/>
        <w:rPr>
          <w:rFonts w:eastAsia="Times New Roman" w:cs="Arial"/>
          <w:sz w:val="22"/>
          <w:lang w:eastAsia="hr-HR"/>
        </w:rPr>
      </w:pPr>
    </w:p>
    <w:p w14:paraId="4C9FAF4A" w14:textId="77777777" w:rsidR="00EC4BCD" w:rsidRPr="00EC4BCD" w:rsidRDefault="00EC4BCD" w:rsidP="00EC4BCD">
      <w:pPr>
        <w:spacing w:after="120" w:line="276" w:lineRule="auto"/>
        <w:rPr>
          <w:rFonts w:eastAsia="Times New Roman" w:cs="Arial"/>
          <w:sz w:val="22"/>
          <w:lang w:eastAsia="hr-HR"/>
        </w:rPr>
      </w:pPr>
    </w:p>
    <w:p w14:paraId="25147ABB" w14:textId="77777777" w:rsidR="00EC4BCD" w:rsidRPr="00EC4BCD" w:rsidRDefault="00EC4BCD" w:rsidP="00EC4BCD">
      <w:pPr>
        <w:spacing w:after="120" w:line="276" w:lineRule="auto"/>
        <w:rPr>
          <w:rFonts w:eastAsia="Times New Roman" w:cs="Arial"/>
          <w:sz w:val="22"/>
          <w:lang w:eastAsia="hr-HR"/>
        </w:rPr>
      </w:pPr>
    </w:p>
    <w:p w14:paraId="1DB53167" w14:textId="77777777" w:rsidR="00EC4BCD" w:rsidRPr="00EC4BCD" w:rsidRDefault="00EC4BCD" w:rsidP="00EC4BCD">
      <w:pPr>
        <w:spacing w:after="120" w:line="276" w:lineRule="auto"/>
        <w:rPr>
          <w:rFonts w:eastAsia="Times New Roman" w:cs="Arial"/>
          <w:sz w:val="22"/>
          <w:lang w:eastAsia="hr-HR"/>
        </w:rPr>
      </w:pPr>
    </w:p>
    <w:p w14:paraId="4B34EB3F" w14:textId="77777777" w:rsidR="00EC4BCD" w:rsidRPr="00EC4BCD" w:rsidRDefault="00EC4BCD" w:rsidP="00EC4BCD">
      <w:pPr>
        <w:spacing w:after="120" w:line="276" w:lineRule="auto"/>
        <w:rPr>
          <w:rFonts w:eastAsia="Times New Roman" w:cs="Arial"/>
          <w:sz w:val="22"/>
          <w:lang w:eastAsia="hr-HR"/>
        </w:rPr>
      </w:pPr>
    </w:p>
    <w:p w14:paraId="4831BDE2" w14:textId="77777777" w:rsidR="00EC4BCD" w:rsidRPr="00EC4BCD" w:rsidRDefault="00EC4BCD" w:rsidP="00EC4BCD">
      <w:pPr>
        <w:spacing w:after="120" w:line="276" w:lineRule="auto"/>
        <w:rPr>
          <w:rFonts w:eastAsia="Times New Roman" w:cs="Arial"/>
          <w:sz w:val="22"/>
          <w:lang w:eastAsia="hr-HR"/>
        </w:rPr>
      </w:pPr>
    </w:p>
    <w:tbl>
      <w:tblPr>
        <w:tblpPr w:leftFromText="180" w:rightFromText="180" w:vertAnchor="page" w:horzAnchor="page" w:tblpX="1141" w:tblpY="1081"/>
        <w:tblW w:w="3969" w:type="dxa"/>
        <w:tblLayout w:type="fixed"/>
        <w:tblLook w:val="04A0" w:firstRow="1" w:lastRow="0" w:firstColumn="1" w:lastColumn="0" w:noHBand="0" w:noVBand="1"/>
      </w:tblPr>
      <w:tblGrid>
        <w:gridCol w:w="3969"/>
      </w:tblGrid>
      <w:tr w:rsidR="00EC4BCD" w:rsidRPr="00EC4BCD" w14:paraId="55DAFC08" w14:textId="77777777" w:rsidTr="009D51EE">
        <w:trPr>
          <w:cantSplit/>
        </w:trPr>
        <w:tc>
          <w:tcPr>
            <w:tcW w:w="3969" w:type="dxa"/>
            <w:hideMark/>
          </w:tcPr>
          <w:p w14:paraId="374E5374" w14:textId="77777777" w:rsidR="00EC4BCD" w:rsidRPr="00EC4BCD" w:rsidRDefault="00EC4BCD" w:rsidP="00EC4BCD">
            <w:pPr>
              <w:keepNext/>
              <w:widowControl w:val="0"/>
              <w:tabs>
                <w:tab w:val="left" w:pos="1824"/>
              </w:tabs>
              <w:suppressAutoHyphens/>
              <w:spacing w:line="276" w:lineRule="auto"/>
              <w:jc w:val="center"/>
              <w:outlineLvl w:val="0"/>
              <w:rPr>
                <w:rFonts w:eastAsia="Times New Roman" w:cs="Arial"/>
                <w:b/>
                <w:kern w:val="1"/>
                <w:sz w:val="22"/>
                <w:lang w:eastAsia="zh-CN" w:bidi="hi-IN"/>
              </w:rPr>
            </w:pPr>
            <w:bookmarkStart w:id="0" w:name="_Hlk500422633"/>
            <w:r w:rsidRPr="00EC4BCD">
              <w:rPr>
                <w:rFonts w:eastAsia="Times New Roman" w:cs="Arial"/>
                <w:noProof/>
                <w:kern w:val="1"/>
                <w:sz w:val="22"/>
                <w:lang w:eastAsia="hr-HR" w:bidi="hi-IN"/>
              </w:rPr>
              <w:lastRenderedPageBreak/>
              <w:drawing>
                <wp:inline distT="0" distB="0" distL="0" distR="0" wp14:anchorId="41F2F58B" wp14:editId="20C2AEAA">
                  <wp:extent cx="466635" cy="612458"/>
                  <wp:effectExtent l="0" t="0" r="0" b="0"/>
                  <wp:docPr id="1782487815" name="Picture 1782487815" descr="grbr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r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1774" cy="619203"/>
                          </a:xfrm>
                          <a:prstGeom prst="rect">
                            <a:avLst/>
                          </a:prstGeom>
                          <a:noFill/>
                          <a:ln>
                            <a:noFill/>
                          </a:ln>
                        </pic:spPr>
                      </pic:pic>
                    </a:graphicData>
                  </a:graphic>
                </wp:inline>
              </w:drawing>
            </w:r>
          </w:p>
          <w:p w14:paraId="52E46680" w14:textId="77777777" w:rsidR="00EC4BCD" w:rsidRPr="00EC4BCD" w:rsidRDefault="00EC4BCD" w:rsidP="00EC4BCD">
            <w:pPr>
              <w:keepNext/>
              <w:widowControl w:val="0"/>
              <w:tabs>
                <w:tab w:val="left" w:pos="1824"/>
              </w:tabs>
              <w:suppressAutoHyphens/>
              <w:spacing w:line="276" w:lineRule="auto"/>
              <w:jc w:val="center"/>
              <w:outlineLvl w:val="0"/>
              <w:rPr>
                <w:rFonts w:eastAsia="Times New Roman" w:cs="Arial"/>
                <w:b/>
                <w:kern w:val="1"/>
                <w:sz w:val="22"/>
                <w:lang w:eastAsia="zh-CN" w:bidi="hi-IN"/>
              </w:rPr>
            </w:pPr>
            <w:r w:rsidRPr="00EC4BCD">
              <w:rPr>
                <w:rFonts w:eastAsia="Times New Roman" w:cs="Arial"/>
                <w:b/>
                <w:kern w:val="1"/>
                <w:sz w:val="22"/>
                <w:lang w:eastAsia="zh-CN" w:bidi="hi-IN"/>
              </w:rPr>
              <w:t>R E P U B L I K A  H R V A T S K A</w:t>
            </w:r>
          </w:p>
          <w:p w14:paraId="1F3D22C8" w14:textId="77777777" w:rsidR="00EC4BCD" w:rsidRPr="00EC4BCD" w:rsidRDefault="00EC4BCD" w:rsidP="00EC4BCD">
            <w:pPr>
              <w:widowControl w:val="0"/>
              <w:suppressAutoHyphens/>
              <w:spacing w:line="276" w:lineRule="auto"/>
              <w:jc w:val="center"/>
              <w:rPr>
                <w:rFonts w:eastAsia="Times New Roman" w:cs="Arial"/>
                <w:b/>
                <w:kern w:val="1"/>
                <w:sz w:val="22"/>
                <w:lang w:eastAsia="zh-CN" w:bidi="hi-IN"/>
              </w:rPr>
            </w:pPr>
            <w:r w:rsidRPr="00EC4BCD">
              <w:rPr>
                <w:rFonts w:eastAsia="Times New Roman" w:cs="Arial"/>
                <w:b/>
                <w:kern w:val="1"/>
                <w:sz w:val="22"/>
                <w:lang w:eastAsia="zh-CN" w:bidi="hi-IN"/>
              </w:rPr>
              <w:t>PRIMORSKO–GORANSKA ŽUPANIJA</w:t>
            </w:r>
          </w:p>
          <w:p w14:paraId="076C03D0" w14:textId="77777777" w:rsidR="00EC4BCD" w:rsidRPr="00EC4BCD" w:rsidRDefault="00EC4BCD" w:rsidP="00EC4BCD">
            <w:pPr>
              <w:widowControl w:val="0"/>
              <w:suppressAutoHyphens/>
              <w:spacing w:line="276" w:lineRule="auto"/>
              <w:jc w:val="center"/>
              <w:rPr>
                <w:rFonts w:eastAsia="Times New Roman" w:cs="Arial"/>
                <w:b/>
                <w:kern w:val="1"/>
                <w:sz w:val="22"/>
                <w:lang w:eastAsia="zh-CN" w:bidi="hi-IN"/>
              </w:rPr>
            </w:pPr>
            <w:r w:rsidRPr="00EC4BCD">
              <w:rPr>
                <w:rFonts w:eastAsia="Times New Roman" w:cs="Arial"/>
                <w:b/>
                <w:kern w:val="1"/>
                <w:sz w:val="22"/>
                <w:lang w:eastAsia="zh-CN" w:bidi="hi-IN"/>
              </w:rPr>
              <w:t>OPĆINA JELENJE</w:t>
            </w:r>
          </w:p>
        </w:tc>
      </w:tr>
    </w:tbl>
    <w:p w14:paraId="4D03A4F5"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1FDC33FB"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5DC2EA04"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19988062"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0A81FCC8"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37CB3B94"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0AB97C14" w14:textId="77777777" w:rsidR="00EC4BCD" w:rsidRPr="00EC4BCD" w:rsidRDefault="00EC4BCD" w:rsidP="00EC4BCD">
      <w:pPr>
        <w:widowControl w:val="0"/>
        <w:suppressAutoHyphens/>
        <w:autoSpaceDE w:val="0"/>
        <w:spacing w:line="276" w:lineRule="auto"/>
        <w:rPr>
          <w:rFonts w:eastAsia="SimSun" w:cs="Arial"/>
          <w:kern w:val="1"/>
          <w:sz w:val="22"/>
          <w:lang w:eastAsia="zh-CN" w:bidi="hi-IN"/>
        </w:rPr>
      </w:pPr>
    </w:p>
    <w:p w14:paraId="08D9C08B" w14:textId="0777008D" w:rsidR="00EC4BCD" w:rsidRPr="00EC4BCD" w:rsidRDefault="00EC4BCD" w:rsidP="00EC4BCD">
      <w:pPr>
        <w:widowControl w:val="0"/>
        <w:suppressAutoHyphens/>
        <w:autoSpaceDE w:val="0"/>
        <w:spacing w:line="276" w:lineRule="auto"/>
        <w:rPr>
          <w:rFonts w:eastAsia="SimSun" w:cs="Arial"/>
          <w:color w:val="000000"/>
          <w:kern w:val="1"/>
          <w:sz w:val="22"/>
          <w:lang w:eastAsia="zh-CN" w:bidi="hi-IN"/>
        </w:rPr>
      </w:pPr>
      <w:r w:rsidRPr="00EC4BCD">
        <w:rPr>
          <w:rFonts w:eastAsia="SimSun" w:cs="Arial"/>
          <w:kern w:val="1"/>
          <w:sz w:val="22"/>
          <w:lang w:eastAsia="zh-CN" w:bidi="hi-IN"/>
        </w:rPr>
        <w:t xml:space="preserve">KLASA: </w:t>
      </w:r>
    </w:p>
    <w:p w14:paraId="24BC4D98" w14:textId="7B5CC4CF" w:rsidR="00EC4BCD" w:rsidRPr="00EC4BCD" w:rsidRDefault="00EC4BCD" w:rsidP="00EC4BCD">
      <w:pPr>
        <w:widowControl w:val="0"/>
        <w:suppressAutoHyphens/>
        <w:autoSpaceDE w:val="0"/>
        <w:spacing w:line="276" w:lineRule="auto"/>
        <w:rPr>
          <w:rFonts w:eastAsia="SimSun" w:cs="Arial"/>
          <w:kern w:val="1"/>
          <w:sz w:val="22"/>
          <w:lang w:eastAsia="zh-CN" w:bidi="hi-IN"/>
        </w:rPr>
      </w:pPr>
      <w:r w:rsidRPr="00EC4BCD">
        <w:rPr>
          <w:rFonts w:eastAsia="SimSun" w:cs="Arial"/>
          <w:color w:val="000000"/>
          <w:kern w:val="1"/>
          <w:sz w:val="22"/>
          <w:lang w:eastAsia="zh-CN" w:bidi="hi-IN"/>
        </w:rPr>
        <w:t>URBROJ</w:t>
      </w:r>
      <w:r w:rsidRPr="00EC4BCD">
        <w:rPr>
          <w:rFonts w:eastAsia="SimSun" w:cs="Arial"/>
          <w:kern w:val="1"/>
          <w:sz w:val="22"/>
          <w:lang w:eastAsia="zh-CN" w:bidi="hi-IN"/>
        </w:rPr>
        <w:t xml:space="preserve">: </w:t>
      </w:r>
    </w:p>
    <w:p w14:paraId="66F9836D" w14:textId="30F7441E" w:rsidR="00EC4BCD" w:rsidRPr="00EC4BCD" w:rsidRDefault="00EC4BCD" w:rsidP="00EC4BCD">
      <w:pPr>
        <w:widowControl w:val="0"/>
        <w:suppressAutoHyphens/>
        <w:spacing w:line="276" w:lineRule="auto"/>
        <w:rPr>
          <w:rFonts w:eastAsia="SimSun" w:cs="Arial"/>
          <w:kern w:val="1"/>
          <w:sz w:val="22"/>
          <w:lang w:eastAsia="zh-CN" w:bidi="hi-IN"/>
        </w:rPr>
      </w:pPr>
      <w:r w:rsidRPr="00EC4BCD">
        <w:rPr>
          <w:rFonts w:eastAsia="SimSun" w:cs="Arial"/>
          <w:kern w:val="1"/>
          <w:sz w:val="22"/>
          <w:lang w:eastAsia="zh-CN" w:bidi="hi-IN"/>
        </w:rPr>
        <w:t xml:space="preserve">Dražice, </w:t>
      </w:r>
    </w:p>
    <w:bookmarkEnd w:id="0"/>
    <w:p w14:paraId="0D33EA2E" w14:textId="77777777" w:rsidR="00EC4BCD" w:rsidRPr="00EC4BCD" w:rsidRDefault="00EC4BCD" w:rsidP="00EC4BCD">
      <w:pPr>
        <w:spacing w:after="120" w:line="276" w:lineRule="auto"/>
        <w:rPr>
          <w:rFonts w:eastAsia="Times New Roman" w:cs="Arial"/>
          <w:sz w:val="22"/>
          <w:lang w:eastAsia="hr-HR"/>
        </w:rPr>
      </w:pPr>
    </w:p>
    <w:p w14:paraId="1BABAAAC" w14:textId="77777777" w:rsidR="00EC4BCD" w:rsidRPr="00EC4BCD" w:rsidRDefault="00EC4BCD" w:rsidP="00EC4BCD">
      <w:pPr>
        <w:spacing w:after="120" w:line="276" w:lineRule="auto"/>
        <w:jc w:val="right"/>
        <w:rPr>
          <w:rFonts w:eastAsia="Times New Roman" w:cs="Arial"/>
          <w:b/>
          <w:bCs/>
          <w:sz w:val="22"/>
          <w:lang w:eastAsia="hr-HR"/>
        </w:rPr>
      </w:pPr>
      <w:r w:rsidRPr="00EC4BCD">
        <w:rPr>
          <w:rFonts w:eastAsia="Times New Roman" w:cs="Arial"/>
          <w:b/>
          <w:bCs/>
          <w:sz w:val="22"/>
          <w:lang w:eastAsia="hr-HR"/>
        </w:rPr>
        <w:t>Općinsko vijeće Općine Jelenje</w:t>
      </w:r>
    </w:p>
    <w:p w14:paraId="23BF58A9" w14:textId="77777777" w:rsidR="00EC4BCD" w:rsidRPr="00EC4BCD" w:rsidRDefault="00EC4BCD" w:rsidP="00EC4BCD">
      <w:pPr>
        <w:spacing w:after="120" w:line="276" w:lineRule="auto"/>
        <w:jc w:val="right"/>
        <w:rPr>
          <w:rFonts w:eastAsia="Times New Roman" w:cs="Arial"/>
          <w:b/>
          <w:bCs/>
          <w:sz w:val="22"/>
          <w:lang w:eastAsia="hr-HR"/>
        </w:rPr>
      </w:pPr>
      <w:r w:rsidRPr="00EC4BCD">
        <w:rPr>
          <w:rFonts w:eastAsia="Times New Roman" w:cs="Arial"/>
          <w:b/>
          <w:bCs/>
          <w:sz w:val="22"/>
          <w:lang w:eastAsia="hr-HR"/>
        </w:rPr>
        <w:t>n/r predsjednice Izabele Nemaz</w:t>
      </w:r>
    </w:p>
    <w:p w14:paraId="7EB90C81" w14:textId="77777777" w:rsidR="00EC4BCD" w:rsidRPr="00EC4BCD" w:rsidRDefault="00EC4BCD" w:rsidP="00EC4BCD">
      <w:pPr>
        <w:spacing w:after="120" w:line="276" w:lineRule="auto"/>
        <w:rPr>
          <w:rFonts w:eastAsia="Times New Roman" w:cs="Arial"/>
          <w:sz w:val="22"/>
          <w:lang w:eastAsia="hr-HR"/>
        </w:rPr>
      </w:pPr>
    </w:p>
    <w:p w14:paraId="1C21AB26" w14:textId="77777777" w:rsidR="00EC4BCD" w:rsidRPr="00EC4BCD" w:rsidRDefault="00EC4BCD" w:rsidP="00EC4BCD">
      <w:pPr>
        <w:spacing w:after="120" w:line="276" w:lineRule="auto"/>
        <w:rPr>
          <w:rFonts w:eastAsia="Times New Roman" w:cs="Arial"/>
          <w:sz w:val="22"/>
          <w:lang w:eastAsia="hr-HR"/>
        </w:rPr>
      </w:pPr>
    </w:p>
    <w:p w14:paraId="52AF9510" w14:textId="77777777" w:rsidR="00EC4BCD" w:rsidRPr="00EC4BCD" w:rsidRDefault="00EC4BCD" w:rsidP="00EC4BCD">
      <w:pPr>
        <w:spacing w:after="120" w:line="276" w:lineRule="auto"/>
        <w:rPr>
          <w:rFonts w:eastAsia="Times New Roman" w:cs="Arial"/>
          <w:sz w:val="22"/>
          <w:lang w:eastAsia="hr-HR"/>
        </w:rPr>
      </w:pPr>
    </w:p>
    <w:p w14:paraId="34F672DC" w14:textId="68F13EA5"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 xml:space="preserve">Na temelju članka </w:t>
      </w:r>
      <w:r w:rsidR="00B87335">
        <w:rPr>
          <w:rFonts w:eastAsia="Times New Roman" w:cs="Arial"/>
          <w:sz w:val="22"/>
          <w:lang w:eastAsia="hr-HR"/>
        </w:rPr>
        <w:t>46.</w:t>
      </w:r>
      <w:r w:rsidRPr="00EC4BCD">
        <w:rPr>
          <w:rFonts w:eastAsia="Times New Roman" w:cs="Arial"/>
          <w:sz w:val="22"/>
          <w:lang w:eastAsia="hr-HR"/>
        </w:rPr>
        <w:t xml:space="preserve"> stavka 1. točke 1. Statuta Općine Jelenje </w:t>
      </w:r>
      <w:r w:rsidR="00B87335">
        <w:rPr>
          <w:rFonts w:eastAsia="Times New Roman" w:cs="Arial"/>
          <w:sz w:val="22"/>
          <w:lang w:eastAsia="hr-HR"/>
        </w:rPr>
        <w:t>(</w:t>
      </w:r>
      <w:r w:rsidRPr="00EC4BCD">
        <w:rPr>
          <w:rFonts w:eastAsia="Times New Roman" w:cs="Arial"/>
          <w:sz w:val="22"/>
          <w:lang w:eastAsia="hr-HR"/>
        </w:rPr>
        <w:t xml:space="preserve">„Službene novine Općine Jelenje“ broj </w:t>
      </w:r>
      <w:r w:rsidR="00B87335">
        <w:rPr>
          <w:rFonts w:eastAsia="Times New Roman" w:cs="Arial"/>
          <w:sz w:val="22"/>
          <w:lang w:eastAsia="hr-HR"/>
        </w:rPr>
        <w:t>59/23</w:t>
      </w:r>
      <w:r w:rsidRPr="00EC4BCD">
        <w:rPr>
          <w:rFonts w:eastAsia="Times New Roman" w:cs="Arial"/>
          <w:sz w:val="22"/>
          <w:lang w:eastAsia="hr-HR"/>
        </w:rPr>
        <w:t>) i članka 6</w:t>
      </w:r>
      <w:r w:rsidR="00B87335">
        <w:rPr>
          <w:rFonts w:eastAsia="Times New Roman" w:cs="Arial"/>
          <w:sz w:val="22"/>
          <w:lang w:eastAsia="hr-HR"/>
        </w:rPr>
        <w:t>9</w:t>
      </w:r>
      <w:r w:rsidRPr="00EC4BCD">
        <w:rPr>
          <w:rFonts w:eastAsia="Times New Roman" w:cs="Arial"/>
          <w:sz w:val="22"/>
          <w:lang w:eastAsia="hr-HR"/>
        </w:rPr>
        <w:t xml:space="preserve">. stavak 2. Poslovnika o radu Općinskog vijeća Općine Jelenje („Službene novine Općine Jelenje“ broj </w:t>
      </w:r>
      <w:r w:rsidR="00B87335">
        <w:rPr>
          <w:rFonts w:eastAsia="Times New Roman" w:cs="Arial"/>
          <w:sz w:val="22"/>
          <w:lang w:eastAsia="hr-HR"/>
        </w:rPr>
        <w:t>59/23</w:t>
      </w:r>
      <w:r w:rsidRPr="00EC4BCD">
        <w:rPr>
          <w:rFonts w:eastAsia="Times New Roman" w:cs="Arial"/>
          <w:sz w:val="22"/>
          <w:lang w:eastAsia="hr-HR"/>
        </w:rPr>
        <w:t>) podnosim Općinskom vijeću Općine Jelenje na razmatranje i donošenje</w:t>
      </w:r>
      <w:r w:rsidRPr="00EC4BCD">
        <w:rPr>
          <w:rFonts w:eastAsia="Times New Roman" w:cs="Arial"/>
          <w:b/>
          <w:bCs/>
          <w:sz w:val="22"/>
          <w:lang w:eastAsia="hr-HR"/>
        </w:rPr>
        <w:t xml:space="preserve"> Prijedlog Odluke o donošenju </w:t>
      </w:r>
      <w:r w:rsidR="00B87335" w:rsidRPr="00B87335">
        <w:rPr>
          <w:rFonts w:eastAsia="Times New Roman" w:cs="Arial"/>
          <w:b/>
          <w:bCs/>
          <w:sz w:val="22"/>
          <w:lang w:eastAsia="hr-HR"/>
        </w:rPr>
        <w:t>II. Izmjena i dopuna Detaljnog plana uređenja zone poslovne namjene K1</w:t>
      </w:r>
      <w:r w:rsidR="00B87335" w:rsidRPr="00B87335">
        <w:rPr>
          <w:rFonts w:eastAsia="Times New Roman" w:cs="Arial"/>
          <w:b/>
          <w:bCs/>
          <w:sz w:val="22"/>
          <w:vertAlign w:val="subscript"/>
          <w:lang w:eastAsia="hr-HR"/>
        </w:rPr>
        <w:t>1</w:t>
      </w:r>
      <w:r w:rsidR="0032243F">
        <w:rPr>
          <w:rFonts w:eastAsia="Times New Roman" w:cs="Arial"/>
          <w:b/>
          <w:bCs/>
          <w:sz w:val="22"/>
          <w:lang w:eastAsia="hr-HR"/>
        </w:rPr>
        <w:t xml:space="preserve"> „</w:t>
      </w:r>
      <w:r w:rsidR="0032243F" w:rsidRPr="0032243F">
        <w:rPr>
          <w:rFonts w:eastAsia="Times New Roman" w:cs="Arial"/>
          <w:b/>
          <w:bCs/>
          <w:sz w:val="22"/>
          <w:lang w:eastAsia="hr-HR"/>
        </w:rPr>
        <w:t>Podhum</w:t>
      </w:r>
      <w:r w:rsidR="0032243F">
        <w:rPr>
          <w:rFonts w:eastAsia="Times New Roman" w:cs="Arial"/>
          <w:b/>
          <w:bCs/>
          <w:sz w:val="22"/>
          <w:lang w:eastAsia="hr-HR"/>
        </w:rPr>
        <w:t>“.</w:t>
      </w:r>
    </w:p>
    <w:p w14:paraId="6DA138E9" w14:textId="77777777" w:rsidR="00EC4BCD" w:rsidRPr="00EC4BCD" w:rsidRDefault="00EC4BCD" w:rsidP="00EC4BCD">
      <w:pPr>
        <w:spacing w:after="120" w:line="276" w:lineRule="auto"/>
        <w:rPr>
          <w:rFonts w:eastAsia="Times New Roman" w:cs="Arial"/>
          <w:sz w:val="22"/>
          <w:lang w:eastAsia="hr-HR"/>
        </w:rPr>
      </w:pPr>
    </w:p>
    <w:p w14:paraId="5D113E6D" w14:textId="77777777" w:rsidR="00EC4BCD" w:rsidRPr="00EC4BCD" w:rsidRDefault="00EC4BCD" w:rsidP="00EC4BCD">
      <w:pPr>
        <w:spacing w:line="276" w:lineRule="auto"/>
        <w:rPr>
          <w:rFonts w:eastAsia="Times New Roman" w:cs="Arial"/>
          <w:sz w:val="22"/>
          <w:lang w:eastAsia="hr-HR"/>
        </w:rPr>
      </w:pPr>
    </w:p>
    <w:p w14:paraId="7994B822" w14:textId="77777777" w:rsidR="00EC4BCD" w:rsidRPr="00EC4BCD" w:rsidRDefault="00EC4BCD" w:rsidP="00EC4BCD">
      <w:pPr>
        <w:spacing w:line="276" w:lineRule="auto"/>
        <w:jc w:val="right"/>
        <w:rPr>
          <w:rFonts w:eastAsia="Times New Roman" w:cs="Arial"/>
          <w:sz w:val="22"/>
          <w:lang w:eastAsia="hr-HR"/>
        </w:rPr>
      </w:pPr>
      <w:r w:rsidRPr="00EC4BCD">
        <w:rPr>
          <w:rFonts w:eastAsia="Times New Roman" w:cs="Arial"/>
          <w:sz w:val="22"/>
          <w:lang w:eastAsia="hr-HR"/>
        </w:rPr>
        <w:t>OPĆINSKI NAČELNIK</w:t>
      </w:r>
    </w:p>
    <w:p w14:paraId="5968D6B4" w14:textId="77777777" w:rsidR="00EC4BCD" w:rsidRPr="00EC4BCD" w:rsidRDefault="00EC4BCD" w:rsidP="00EC4BCD">
      <w:pPr>
        <w:spacing w:line="276" w:lineRule="auto"/>
        <w:jc w:val="right"/>
        <w:rPr>
          <w:rFonts w:eastAsia="Times New Roman" w:cs="Arial"/>
          <w:sz w:val="22"/>
          <w:lang w:eastAsia="hr-HR"/>
        </w:rPr>
      </w:pPr>
      <w:r w:rsidRPr="00EC4BCD">
        <w:rPr>
          <w:rFonts w:eastAsia="Times New Roman" w:cs="Arial"/>
          <w:sz w:val="22"/>
          <w:lang w:eastAsia="hr-HR"/>
        </w:rPr>
        <w:t>OPĆINE JELENJE</w:t>
      </w:r>
    </w:p>
    <w:p w14:paraId="26019607" w14:textId="77777777" w:rsidR="00EC4BCD" w:rsidRPr="00EC4BCD" w:rsidRDefault="00EC4BCD" w:rsidP="00EC4BCD">
      <w:pPr>
        <w:spacing w:line="276" w:lineRule="auto"/>
        <w:jc w:val="right"/>
        <w:rPr>
          <w:rFonts w:eastAsia="Times New Roman" w:cs="Arial"/>
          <w:sz w:val="22"/>
          <w:lang w:eastAsia="hr-HR"/>
        </w:rPr>
      </w:pPr>
    </w:p>
    <w:p w14:paraId="25E54DD5" w14:textId="77777777" w:rsidR="00EC4BCD" w:rsidRPr="00EC4BCD" w:rsidRDefault="00EC4BCD" w:rsidP="00EC4BCD">
      <w:pPr>
        <w:spacing w:after="120" w:line="276" w:lineRule="auto"/>
        <w:jc w:val="right"/>
        <w:rPr>
          <w:rFonts w:eastAsia="Times New Roman" w:cs="Arial"/>
          <w:sz w:val="22"/>
          <w:lang w:eastAsia="hr-HR"/>
        </w:rPr>
      </w:pPr>
      <w:r w:rsidRPr="00EC4BCD">
        <w:rPr>
          <w:rFonts w:eastAsia="Times New Roman" w:cs="Arial"/>
          <w:sz w:val="22"/>
          <w:lang w:eastAsia="hr-HR"/>
        </w:rPr>
        <w:t>Robert Marčelja, bacc. oec.</w:t>
      </w:r>
    </w:p>
    <w:p w14:paraId="68E79C33" w14:textId="77777777" w:rsidR="00EC4BCD" w:rsidRPr="00EC4BCD" w:rsidRDefault="00EC4BCD" w:rsidP="00EC4BCD">
      <w:pPr>
        <w:spacing w:after="120" w:line="276" w:lineRule="auto"/>
        <w:rPr>
          <w:rFonts w:eastAsia="Times New Roman" w:cs="Arial"/>
          <w:sz w:val="22"/>
          <w:lang w:eastAsia="hr-HR"/>
        </w:rPr>
      </w:pPr>
    </w:p>
    <w:p w14:paraId="186036BB" w14:textId="77777777" w:rsidR="00EC4BCD" w:rsidRPr="00EC4BCD" w:rsidRDefault="00EC4BCD" w:rsidP="00EC4BCD">
      <w:pPr>
        <w:spacing w:after="120" w:line="276" w:lineRule="auto"/>
        <w:rPr>
          <w:rFonts w:eastAsia="Times New Roman" w:cs="Arial"/>
          <w:sz w:val="22"/>
          <w:lang w:eastAsia="hr-HR"/>
        </w:rPr>
      </w:pPr>
    </w:p>
    <w:p w14:paraId="3E20747B" w14:textId="77777777" w:rsidR="00EC4BCD" w:rsidRPr="00EC4BCD" w:rsidRDefault="00EC4BCD" w:rsidP="00EC4BCD">
      <w:pPr>
        <w:spacing w:after="120" w:line="276" w:lineRule="auto"/>
        <w:rPr>
          <w:rFonts w:eastAsia="Times New Roman" w:cs="Arial"/>
          <w:sz w:val="22"/>
          <w:lang w:eastAsia="hr-HR"/>
        </w:rPr>
      </w:pPr>
    </w:p>
    <w:p w14:paraId="7E2176A2" w14:textId="77777777" w:rsidR="00EC4BCD" w:rsidRPr="00EC4BCD" w:rsidRDefault="00EC4BCD" w:rsidP="00EC4BCD">
      <w:pPr>
        <w:spacing w:after="120" w:line="276" w:lineRule="auto"/>
        <w:rPr>
          <w:rFonts w:eastAsia="Times New Roman" w:cs="Arial"/>
          <w:sz w:val="22"/>
          <w:lang w:eastAsia="hr-HR"/>
        </w:rPr>
      </w:pPr>
    </w:p>
    <w:p w14:paraId="64D130E4" w14:textId="77777777" w:rsidR="00EC4BCD" w:rsidRPr="00EC4BCD" w:rsidRDefault="00EC4BCD" w:rsidP="00EC4BCD">
      <w:pPr>
        <w:spacing w:after="120" w:line="276" w:lineRule="auto"/>
        <w:rPr>
          <w:rFonts w:eastAsia="Times New Roman" w:cs="Arial"/>
          <w:sz w:val="22"/>
          <w:lang w:eastAsia="hr-HR"/>
        </w:rPr>
      </w:pPr>
    </w:p>
    <w:p w14:paraId="484D8766" w14:textId="77777777" w:rsidR="00EC4BCD" w:rsidRPr="00EC4BCD" w:rsidRDefault="00EC4BCD" w:rsidP="00EC4BCD">
      <w:pPr>
        <w:spacing w:after="120" w:line="276" w:lineRule="auto"/>
        <w:rPr>
          <w:rFonts w:eastAsia="Times New Roman" w:cs="Arial"/>
          <w:sz w:val="22"/>
          <w:lang w:eastAsia="hr-HR"/>
        </w:rPr>
      </w:pPr>
    </w:p>
    <w:p w14:paraId="61503576" w14:textId="77777777" w:rsidR="00EC4BCD" w:rsidRPr="00EC4BCD" w:rsidRDefault="00EC4BCD" w:rsidP="00EC4BCD">
      <w:pPr>
        <w:spacing w:after="120" w:line="276" w:lineRule="auto"/>
        <w:rPr>
          <w:rFonts w:eastAsia="Times New Roman" w:cs="Arial"/>
          <w:sz w:val="22"/>
          <w:lang w:eastAsia="hr-HR"/>
        </w:rPr>
      </w:pPr>
    </w:p>
    <w:p w14:paraId="5D1FCECD" w14:textId="77777777" w:rsidR="00EC4BCD" w:rsidRPr="00EC4BCD" w:rsidRDefault="00EC4BCD" w:rsidP="00EC4BCD">
      <w:pPr>
        <w:spacing w:after="120" w:line="276" w:lineRule="auto"/>
        <w:rPr>
          <w:rFonts w:eastAsia="Times New Roman" w:cs="Arial"/>
          <w:sz w:val="22"/>
          <w:lang w:eastAsia="hr-HR"/>
        </w:rPr>
      </w:pPr>
    </w:p>
    <w:p w14:paraId="284D6DA2" w14:textId="77777777" w:rsidR="00EC4BCD" w:rsidRPr="00EC4BCD" w:rsidRDefault="00EC4BCD" w:rsidP="00EC4BCD">
      <w:pPr>
        <w:spacing w:after="120" w:line="276" w:lineRule="auto"/>
        <w:rPr>
          <w:rFonts w:eastAsia="Times New Roman" w:cs="Arial"/>
          <w:sz w:val="22"/>
          <w:lang w:eastAsia="hr-HR"/>
        </w:rPr>
      </w:pPr>
    </w:p>
    <w:p w14:paraId="3D73AD8D" w14:textId="77777777" w:rsidR="00EC4BCD" w:rsidRDefault="00EC4BCD" w:rsidP="00EC4BCD">
      <w:pPr>
        <w:spacing w:after="120" w:line="276" w:lineRule="auto"/>
        <w:rPr>
          <w:rFonts w:eastAsia="Times New Roman" w:cs="Arial"/>
          <w:sz w:val="22"/>
          <w:lang w:eastAsia="hr-HR"/>
        </w:rPr>
      </w:pPr>
    </w:p>
    <w:p w14:paraId="2A838D5C" w14:textId="77777777" w:rsidR="00B87335" w:rsidRPr="00EC4BCD" w:rsidRDefault="00B87335" w:rsidP="00EC4BCD">
      <w:pPr>
        <w:spacing w:after="120" w:line="276" w:lineRule="auto"/>
        <w:rPr>
          <w:rFonts w:eastAsia="Times New Roman" w:cs="Arial"/>
          <w:sz w:val="22"/>
          <w:lang w:eastAsia="hr-HR"/>
        </w:rPr>
      </w:pPr>
    </w:p>
    <w:p w14:paraId="19D5E1ED" w14:textId="77777777" w:rsidR="00EC4BCD" w:rsidRPr="00EC4BCD" w:rsidRDefault="00EC4BCD" w:rsidP="00EC4BCD">
      <w:pPr>
        <w:spacing w:after="120" w:line="276" w:lineRule="auto"/>
        <w:rPr>
          <w:rFonts w:eastAsia="Times New Roman" w:cs="Arial"/>
          <w:sz w:val="22"/>
          <w:lang w:eastAsia="hr-HR"/>
        </w:rPr>
      </w:pPr>
    </w:p>
    <w:p w14:paraId="3D49038F" w14:textId="77777777"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lastRenderedPageBreak/>
        <w:t xml:space="preserve">PREDMET: </w:t>
      </w:r>
    </w:p>
    <w:p w14:paraId="351A6336" w14:textId="6C90547A" w:rsidR="00EC4BCD" w:rsidRPr="0032243F" w:rsidRDefault="00EC4BCD" w:rsidP="00EC4BCD">
      <w:pPr>
        <w:spacing w:after="120" w:line="276" w:lineRule="auto"/>
        <w:rPr>
          <w:rFonts w:eastAsia="Times New Roman" w:cs="Arial"/>
          <w:sz w:val="22"/>
          <w:lang w:eastAsia="hr-HR"/>
        </w:rPr>
      </w:pPr>
      <w:r w:rsidRPr="00EC4BCD">
        <w:rPr>
          <w:rFonts w:eastAsia="Times New Roman" w:cs="Arial"/>
          <w:sz w:val="22"/>
          <w:lang w:eastAsia="hr-HR"/>
        </w:rPr>
        <w:t xml:space="preserve">Odluka o donošenju </w:t>
      </w:r>
      <w:r w:rsidR="001A283A" w:rsidRPr="001A283A">
        <w:rPr>
          <w:rFonts w:eastAsia="Times New Roman" w:cs="Arial"/>
          <w:sz w:val="22"/>
          <w:lang w:eastAsia="hr-HR"/>
        </w:rPr>
        <w:t>II. Izmjena i dopuna Detaljnog plana uređenja zone poslovne namjene K1</w:t>
      </w:r>
      <w:r w:rsidR="001A283A" w:rsidRPr="001A283A">
        <w:rPr>
          <w:rFonts w:eastAsia="Times New Roman" w:cs="Arial"/>
          <w:sz w:val="22"/>
          <w:vertAlign w:val="subscript"/>
          <w:lang w:eastAsia="hr-HR"/>
        </w:rPr>
        <w:t>1</w:t>
      </w:r>
      <w:r w:rsidR="0032243F">
        <w:rPr>
          <w:rFonts w:eastAsia="Times New Roman" w:cs="Arial"/>
          <w:sz w:val="22"/>
          <w:vertAlign w:val="subscript"/>
          <w:lang w:eastAsia="hr-HR"/>
        </w:rPr>
        <w:t xml:space="preserve"> </w:t>
      </w:r>
      <w:r w:rsidR="0032243F">
        <w:rPr>
          <w:rFonts w:eastAsia="Times New Roman" w:cs="Arial"/>
          <w:sz w:val="22"/>
          <w:lang w:eastAsia="hr-HR"/>
        </w:rPr>
        <w:t>„Podhum“</w:t>
      </w:r>
    </w:p>
    <w:p w14:paraId="505CD56C" w14:textId="77777777" w:rsidR="00EC4BCD" w:rsidRPr="00EC4BCD" w:rsidRDefault="00EC4BCD" w:rsidP="00EC4BCD">
      <w:pPr>
        <w:spacing w:after="120" w:line="276" w:lineRule="auto"/>
        <w:rPr>
          <w:rFonts w:eastAsia="Times New Roman" w:cs="Arial"/>
          <w:sz w:val="22"/>
          <w:lang w:eastAsia="hr-HR"/>
        </w:rPr>
      </w:pPr>
    </w:p>
    <w:p w14:paraId="14748307" w14:textId="77777777"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 xml:space="preserve">PRAVNA OSNOVA: </w:t>
      </w:r>
    </w:p>
    <w:p w14:paraId="54D36182" w14:textId="77777777"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Zakon o prostornom uređenju  („Narodne novine“ broj 153/13, 65/17, 114/18, 39/19 i 98/19)</w:t>
      </w:r>
    </w:p>
    <w:p w14:paraId="4C509A62" w14:textId="77777777" w:rsidR="00EC4BCD" w:rsidRPr="00EC4BCD" w:rsidRDefault="00EC4BCD" w:rsidP="00EC4BCD">
      <w:pPr>
        <w:spacing w:after="120" w:line="276" w:lineRule="auto"/>
        <w:rPr>
          <w:rFonts w:eastAsia="Times New Roman" w:cs="Arial"/>
          <w:sz w:val="22"/>
          <w:lang w:eastAsia="hr-HR"/>
        </w:rPr>
      </w:pPr>
    </w:p>
    <w:p w14:paraId="4B3F797E" w14:textId="77777777"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PREDLAGATELJ: općinski načelnik Općine Jelenje</w:t>
      </w:r>
    </w:p>
    <w:p w14:paraId="5D24B315" w14:textId="77777777" w:rsidR="00EC4BCD" w:rsidRPr="00EC4BCD" w:rsidRDefault="00EC4BCD" w:rsidP="00EC4BCD">
      <w:pPr>
        <w:spacing w:after="120" w:line="276" w:lineRule="auto"/>
        <w:rPr>
          <w:rFonts w:eastAsia="Times New Roman" w:cs="Arial"/>
          <w:sz w:val="22"/>
          <w:lang w:eastAsia="hr-HR"/>
        </w:rPr>
      </w:pPr>
    </w:p>
    <w:p w14:paraId="63F72470" w14:textId="1CE5F215"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 xml:space="preserve">IZVJESTITELJ: </w:t>
      </w:r>
      <w:r w:rsidR="001A283A">
        <w:rPr>
          <w:rFonts w:eastAsia="Times New Roman" w:cs="Arial"/>
          <w:sz w:val="22"/>
          <w:lang w:eastAsia="hr-HR"/>
        </w:rPr>
        <w:t xml:space="preserve">Lili Bračun, </w:t>
      </w:r>
      <w:r w:rsidR="001A283A" w:rsidRPr="001A283A">
        <w:rPr>
          <w:rFonts w:eastAsia="Times New Roman" w:cs="Arial"/>
          <w:sz w:val="22"/>
          <w:lang w:eastAsia="hr-HR"/>
        </w:rPr>
        <w:t>dipl.ing.arh.</w:t>
      </w:r>
      <w:r w:rsidR="001A283A">
        <w:rPr>
          <w:rFonts w:eastAsia="Times New Roman" w:cs="Arial"/>
          <w:sz w:val="22"/>
          <w:lang w:eastAsia="hr-HR"/>
        </w:rPr>
        <w:t>, odgovorni voditelj izrade, Planium d.o.o.</w:t>
      </w:r>
    </w:p>
    <w:p w14:paraId="1B3DC78A" w14:textId="77777777" w:rsidR="00EC4BCD" w:rsidRPr="00EC4BCD" w:rsidRDefault="00EC4BCD" w:rsidP="00EC4BCD">
      <w:pPr>
        <w:spacing w:after="120" w:line="276" w:lineRule="auto"/>
        <w:rPr>
          <w:rFonts w:eastAsia="Times New Roman" w:cs="Arial"/>
          <w:sz w:val="22"/>
          <w:lang w:eastAsia="hr-HR"/>
        </w:rPr>
      </w:pPr>
    </w:p>
    <w:p w14:paraId="2C1CAD5C" w14:textId="77777777" w:rsidR="00EC4BCD" w:rsidRPr="00EC4BCD" w:rsidRDefault="00EC4BCD" w:rsidP="00EC4BCD">
      <w:pPr>
        <w:spacing w:after="120" w:line="276" w:lineRule="auto"/>
        <w:rPr>
          <w:rFonts w:eastAsia="Times New Roman" w:cs="Arial"/>
          <w:sz w:val="22"/>
          <w:lang w:eastAsia="hr-HR"/>
        </w:rPr>
      </w:pPr>
      <w:r w:rsidRPr="00EC4BCD">
        <w:rPr>
          <w:rFonts w:eastAsia="Times New Roman" w:cs="Arial"/>
          <w:sz w:val="22"/>
          <w:lang w:eastAsia="hr-HR"/>
        </w:rPr>
        <w:t>OBRAZLOŽENJE:</w:t>
      </w:r>
    </w:p>
    <w:p w14:paraId="2CDBF779" w14:textId="77777777"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t>Odluka o donošenju Detaljnog plana uređenja zone poslovne namjene K1</w:t>
      </w:r>
      <w:r w:rsidRPr="001A283A">
        <w:rPr>
          <w:rFonts w:eastAsia="Times New Roman" w:cs="Arial"/>
          <w:sz w:val="22"/>
          <w:vertAlign w:val="subscript"/>
          <w:lang w:eastAsia="hr-HR"/>
        </w:rPr>
        <w:t>4</w:t>
      </w:r>
      <w:r w:rsidRPr="001A283A">
        <w:rPr>
          <w:rFonts w:eastAsia="Times New Roman" w:cs="Arial"/>
          <w:sz w:val="22"/>
          <w:lang w:eastAsia="hr-HR"/>
        </w:rPr>
        <w:t xml:space="preserve"> „Podhum“ („Službene novine Primorsko-goranske županije“ br. 22/08, 35/09, 45/09; dalje u tekstu: Plan) donesena je 2008. godine te izmijenjena 2009. godine.  </w:t>
      </w:r>
    </w:p>
    <w:p w14:paraId="0DB1A1BF" w14:textId="77777777"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t>IV. izmjenama i dopunama Prostornog plana uređenja Općine Jelenje navedena zona preimenovana je u zonu poslovne namjene K1</w:t>
      </w:r>
      <w:r w:rsidRPr="001A283A">
        <w:rPr>
          <w:rFonts w:eastAsia="Times New Roman" w:cs="Arial"/>
          <w:sz w:val="22"/>
          <w:vertAlign w:val="subscript"/>
          <w:lang w:eastAsia="hr-HR"/>
        </w:rPr>
        <w:t>1</w:t>
      </w:r>
      <w:r w:rsidRPr="001A283A">
        <w:rPr>
          <w:rFonts w:eastAsia="Times New Roman" w:cs="Arial"/>
          <w:sz w:val="22"/>
          <w:lang w:eastAsia="hr-HR"/>
        </w:rPr>
        <w:t xml:space="preserve">  te navedeno da se u izdvojenom građevinskom području izvan naselja gospodarske, poslovne namjene K1</w:t>
      </w:r>
      <w:r w:rsidRPr="001A283A">
        <w:rPr>
          <w:rFonts w:eastAsia="Times New Roman" w:cs="Arial"/>
          <w:sz w:val="22"/>
          <w:vertAlign w:val="subscript"/>
          <w:lang w:eastAsia="hr-HR"/>
        </w:rPr>
        <w:t>1</w:t>
      </w:r>
      <w:r w:rsidRPr="001A283A">
        <w:rPr>
          <w:rFonts w:eastAsia="Times New Roman" w:cs="Arial"/>
          <w:sz w:val="22"/>
          <w:lang w:eastAsia="hr-HR"/>
        </w:rPr>
        <w:t xml:space="preserve"> Podhum gradnja i uređenje provodi temeljem prostornog plana užeg područja na snazi, naziva: Detaljni plan uređenja zone poslovne namjene K1</w:t>
      </w:r>
      <w:r w:rsidRPr="001A283A">
        <w:rPr>
          <w:rFonts w:eastAsia="Times New Roman" w:cs="Arial"/>
          <w:sz w:val="22"/>
          <w:vertAlign w:val="subscript"/>
          <w:lang w:eastAsia="hr-HR"/>
        </w:rPr>
        <w:t>4</w:t>
      </w:r>
      <w:r w:rsidRPr="001A283A">
        <w:rPr>
          <w:rFonts w:eastAsia="Times New Roman" w:cs="Arial"/>
          <w:sz w:val="22"/>
          <w:lang w:eastAsia="hr-HR"/>
        </w:rPr>
        <w:t xml:space="preserve"> „Podhum“ („Službene novine Primorsko-goranske županije“ br. 22/08, 35/09, 45/09).</w:t>
      </w:r>
    </w:p>
    <w:p w14:paraId="1D3B73C6" w14:textId="6F5007CB"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t>7. rujna 2023. zaprimljen je zahtjev društva Metalac d.o.o. za pokretanje postupka izmjena i dopuna važeće prostorno-planske dokumentacije - Detaljnog plana uređenja poslovne zone K1</w:t>
      </w:r>
      <w:r w:rsidRPr="001A283A">
        <w:rPr>
          <w:rFonts w:eastAsia="Times New Roman" w:cs="Arial"/>
          <w:sz w:val="22"/>
          <w:vertAlign w:val="subscript"/>
          <w:lang w:eastAsia="hr-HR"/>
        </w:rPr>
        <w:t>4</w:t>
      </w:r>
      <w:r w:rsidRPr="001A283A">
        <w:rPr>
          <w:rFonts w:eastAsia="Times New Roman" w:cs="Arial"/>
          <w:sz w:val="22"/>
          <w:lang w:eastAsia="hr-HR"/>
        </w:rPr>
        <w:t xml:space="preserve"> Podhum. Naime, u razdoblju od donošenja Plana, prostor je dijelom priveden namjeni i koristi ga društvo Metalac d.o.o. koji je i vlasnik jedine građevine i djelatnosti u obuhvatu predmetnog Plana (k.č. 5292/5 k.o. Podhum). U svrhu proširenja djelatnosti investitor je otkupio dio k.č. 5292/1 k.o. Podhum u površini od cca. 5500m2, na kojoj planira nastaviti sa dosadašnjom djelatnošću izgradnjom još jednog pogona sa pratećim i pomoćnim sadržajima (nadstrešnice, skladišta, ugostiteljski sadržaj za prehranu djelatnika i slično prema potrebi sadržaja i uvjetima Plana). Nakon dovršenja predmetnog proširenja planiraju potrebu za zapošljavanjem novih 10 do 15 djelatnika. Važeći Plan je preko čestica u vlasništvu investitora predvidio prometnice za kojima više nema potrebe, obzirom da se radi o istoj djelatnosti i istim vlasnicima, a u međuvremenu je katastarski formirana prometnica sa istočne strane obuhvata (k.č. 5099/2 k.o. Podhum) koja omogućava planiranim sadržajima i planiranoj trafostanici na k.č. 5281 k.o. Podhum kolni pristup.</w:t>
      </w:r>
    </w:p>
    <w:p w14:paraId="73F5FFF9" w14:textId="599B5FA4" w:rsidR="001A283A" w:rsidRPr="001A283A" w:rsidRDefault="001A283A" w:rsidP="001A283A">
      <w:pPr>
        <w:spacing w:after="120" w:line="276" w:lineRule="auto"/>
        <w:rPr>
          <w:rFonts w:eastAsia="Times New Roman" w:cs="Arial"/>
          <w:sz w:val="22"/>
          <w:lang w:eastAsia="hr-HR"/>
        </w:rPr>
      </w:pPr>
      <w:r>
        <w:rPr>
          <w:rFonts w:eastAsia="Times New Roman" w:cs="Arial"/>
          <w:sz w:val="22"/>
          <w:lang w:eastAsia="hr-HR"/>
        </w:rPr>
        <w:t>P</w:t>
      </w:r>
      <w:r w:rsidRPr="001A283A">
        <w:rPr>
          <w:rFonts w:eastAsia="Times New Roman" w:cs="Arial"/>
          <w:sz w:val="22"/>
          <w:lang w:eastAsia="hr-HR"/>
        </w:rPr>
        <w:t>ravna osnova za izradu Plana</w:t>
      </w:r>
      <w:r>
        <w:rPr>
          <w:rFonts w:eastAsia="Times New Roman" w:cs="Arial"/>
          <w:sz w:val="22"/>
          <w:lang w:eastAsia="hr-HR"/>
        </w:rPr>
        <w:t xml:space="preserve"> je </w:t>
      </w:r>
      <w:r w:rsidRPr="001A283A">
        <w:rPr>
          <w:rFonts w:eastAsia="Times New Roman" w:cs="Arial"/>
          <w:sz w:val="22"/>
          <w:lang w:eastAsia="hr-HR"/>
        </w:rPr>
        <w:t>Zakon o prostornom uređenju („Narodne novine“, broj 153/13, 65/17, 114/18, 39/19, 98/19, 67/23)</w:t>
      </w:r>
      <w:r>
        <w:rPr>
          <w:rFonts w:eastAsia="Times New Roman" w:cs="Arial"/>
          <w:sz w:val="22"/>
          <w:lang w:eastAsia="hr-HR"/>
        </w:rPr>
        <w:t xml:space="preserve"> te </w:t>
      </w:r>
      <w:r w:rsidRPr="001A283A">
        <w:rPr>
          <w:rFonts w:eastAsia="Times New Roman" w:cs="Arial"/>
          <w:sz w:val="22"/>
          <w:lang w:eastAsia="hr-HR"/>
        </w:rPr>
        <w:t>Prostorni plan uređenja Općine Jelenje („Službene novine Primorsko-goranske županije“, broj 40/07, 15/11, 37/12-ispravak, 38/14 i „Službene novine Općine Jelenje“, broj 20/19 – pročišćeni tekst, 58/23).</w:t>
      </w:r>
    </w:p>
    <w:p w14:paraId="3F69FBE7" w14:textId="1AA620AA"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t>Nositelj izrade Plana je Jedinstveni upravni odjel Općine Jelenje, a odgovorna osoba za praćenje izrade plana je Pročelnica odjela.</w:t>
      </w:r>
    </w:p>
    <w:p w14:paraId="265792D7" w14:textId="420A5792"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lastRenderedPageBreak/>
        <w:t xml:space="preserve">Razlozi za izmjenu i dopunu Plana </w:t>
      </w:r>
      <w:r>
        <w:rPr>
          <w:rFonts w:eastAsia="Times New Roman" w:cs="Arial"/>
          <w:sz w:val="22"/>
          <w:lang w:eastAsia="hr-HR"/>
        </w:rPr>
        <w:t xml:space="preserve">bili su </w:t>
      </w:r>
      <w:r w:rsidRPr="001A283A">
        <w:rPr>
          <w:rFonts w:eastAsia="Times New Roman" w:cs="Arial"/>
          <w:sz w:val="22"/>
          <w:lang w:eastAsia="hr-HR"/>
        </w:rPr>
        <w:t>usklađenje Plana sa Prostornim planom uređenja Općine Jelenje,</w:t>
      </w:r>
      <w:r>
        <w:rPr>
          <w:rFonts w:eastAsia="Times New Roman" w:cs="Arial"/>
          <w:sz w:val="22"/>
          <w:lang w:eastAsia="hr-HR"/>
        </w:rPr>
        <w:t xml:space="preserve"> </w:t>
      </w:r>
      <w:r w:rsidRPr="001A283A">
        <w:rPr>
          <w:rFonts w:eastAsia="Times New Roman" w:cs="Arial"/>
          <w:sz w:val="22"/>
          <w:lang w:eastAsia="hr-HR"/>
        </w:rPr>
        <w:t>usklađenje Plana sa interesima investitora</w:t>
      </w:r>
      <w:r>
        <w:rPr>
          <w:rFonts w:eastAsia="Times New Roman" w:cs="Arial"/>
          <w:sz w:val="22"/>
          <w:lang w:eastAsia="hr-HR"/>
        </w:rPr>
        <w:t xml:space="preserve"> te </w:t>
      </w:r>
      <w:r w:rsidRPr="001A283A">
        <w:rPr>
          <w:rFonts w:eastAsia="Times New Roman" w:cs="Arial"/>
          <w:sz w:val="22"/>
          <w:lang w:eastAsia="hr-HR"/>
        </w:rPr>
        <w:t>preispitivanje prometnog rješenja</w:t>
      </w:r>
      <w:r>
        <w:rPr>
          <w:rFonts w:eastAsia="Times New Roman" w:cs="Arial"/>
          <w:sz w:val="22"/>
          <w:lang w:eastAsia="hr-HR"/>
        </w:rPr>
        <w:t>, dok je o</w:t>
      </w:r>
      <w:r w:rsidRPr="001A283A">
        <w:rPr>
          <w:rFonts w:eastAsia="Times New Roman" w:cs="Arial"/>
          <w:sz w:val="22"/>
          <w:lang w:eastAsia="hr-HR"/>
        </w:rPr>
        <w:t>buhvat Plana utvrđen je Prostornim planom uređenja Općine Jelenje. Trenutna situacija na terenu je nemogućnost izgradnje unutar obuhvata Plana zbog utvrđene prometne regulacije koja danas onemogućava razvoj poslovne zone K1</w:t>
      </w:r>
      <w:r w:rsidRPr="001A283A">
        <w:rPr>
          <w:rFonts w:eastAsia="Times New Roman" w:cs="Arial"/>
          <w:sz w:val="22"/>
          <w:vertAlign w:val="subscript"/>
          <w:lang w:eastAsia="hr-HR"/>
        </w:rPr>
        <w:t>1</w:t>
      </w:r>
      <w:r w:rsidRPr="001A283A">
        <w:rPr>
          <w:rFonts w:eastAsia="Times New Roman" w:cs="Arial"/>
          <w:sz w:val="22"/>
          <w:lang w:eastAsia="hr-HR"/>
        </w:rPr>
        <w:t xml:space="preserve"> u navedenom obuhvatu</w:t>
      </w:r>
      <w:r>
        <w:rPr>
          <w:rFonts w:eastAsia="Times New Roman" w:cs="Arial"/>
          <w:sz w:val="22"/>
          <w:lang w:eastAsia="hr-HR"/>
        </w:rPr>
        <w:t xml:space="preserve"> slijedom čega i</w:t>
      </w:r>
      <w:r w:rsidRPr="001A283A">
        <w:rPr>
          <w:rFonts w:eastAsia="Times New Roman" w:cs="Arial"/>
          <w:sz w:val="22"/>
          <w:lang w:eastAsia="hr-HR"/>
        </w:rPr>
        <w:t>zgradnja predviđena osnovnim Planom ne zadovoljava potrebe korisnika površina unutar obuhvata Plana.</w:t>
      </w:r>
    </w:p>
    <w:p w14:paraId="1477BD0A" w14:textId="2621F67D" w:rsidR="001A283A" w:rsidRPr="001A283A" w:rsidRDefault="001A283A" w:rsidP="001A283A">
      <w:pPr>
        <w:spacing w:after="120" w:line="276" w:lineRule="auto"/>
        <w:rPr>
          <w:rFonts w:eastAsia="Times New Roman" w:cs="Arial"/>
          <w:sz w:val="22"/>
          <w:lang w:eastAsia="hr-HR"/>
        </w:rPr>
      </w:pPr>
      <w:r w:rsidRPr="001A283A">
        <w:rPr>
          <w:rFonts w:eastAsia="Times New Roman" w:cs="Arial"/>
          <w:sz w:val="22"/>
          <w:lang w:eastAsia="hr-HR"/>
        </w:rPr>
        <w:t>Stručna rješenja za izradu Plana izra</w:t>
      </w:r>
      <w:r>
        <w:rPr>
          <w:rFonts w:eastAsia="Times New Roman" w:cs="Arial"/>
          <w:sz w:val="22"/>
          <w:lang w:eastAsia="hr-HR"/>
        </w:rPr>
        <w:t>dio je</w:t>
      </w:r>
      <w:r w:rsidRPr="001A283A">
        <w:rPr>
          <w:rFonts w:eastAsia="Times New Roman" w:cs="Arial"/>
          <w:sz w:val="22"/>
          <w:lang w:eastAsia="hr-HR"/>
        </w:rPr>
        <w:t xml:space="preserve"> stručni izrađivač Plana</w:t>
      </w:r>
      <w:r>
        <w:rPr>
          <w:rFonts w:eastAsia="Times New Roman" w:cs="Arial"/>
          <w:sz w:val="22"/>
          <w:lang w:eastAsia="hr-HR"/>
        </w:rPr>
        <w:t>, društvo Planium d.o.o.</w:t>
      </w:r>
    </w:p>
    <w:p w14:paraId="28310EC4" w14:textId="77777777" w:rsidR="00EC4BCD" w:rsidRPr="00EC4BCD" w:rsidRDefault="00EC4BCD" w:rsidP="00EC4BCD">
      <w:pPr>
        <w:spacing w:after="120" w:line="276" w:lineRule="auto"/>
        <w:rPr>
          <w:rFonts w:eastAsia="Times New Roman" w:cs="Arial"/>
          <w:bCs/>
          <w:sz w:val="22"/>
          <w:lang w:eastAsia="hr-HR"/>
        </w:rPr>
      </w:pPr>
      <w:r w:rsidRPr="00EC4BCD">
        <w:rPr>
          <w:rFonts w:eastAsia="Times New Roman" w:cs="Arial"/>
          <w:bCs/>
          <w:sz w:val="22"/>
          <w:lang w:eastAsia="hr-HR"/>
        </w:rPr>
        <w:t xml:space="preserve">Po donošenju Odluke o izradi, u skladu s člankom 90. Zakona o prostornom uređenju od javnopravnih tijela utvrđenih Odlukom o izradi zatražena je dostava zahtjeva (podaci, planske smjernice i propisani dokumenti) za potrebe izrade prostornog plana. </w:t>
      </w:r>
    </w:p>
    <w:p w14:paraId="7D103EA1" w14:textId="4745EBC7" w:rsidR="00EC4BCD" w:rsidRPr="00EC4BCD" w:rsidRDefault="00EC4BCD" w:rsidP="00EC4BCD">
      <w:pPr>
        <w:keepNext/>
        <w:spacing w:after="120" w:line="276" w:lineRule="auto"/>
        <w:rPr>
          <w:rFonts w:eastAsia="Times New Roman" w:cs="Arial"/>
          <w:bCs/>
          <w:sz w:val="22"/>
          <w:lang w:eastAsia="hr-HR"/>
        </w:rPr>
      </w:pPr>
      <w:r w:rsidRPr="00EC4BCD">
        <w:rPr>
          <w:rFonts w:eastAsia="Times New Roman" w:cs="Arial"/>
          <w:bCs/>
          <w:sz w:val="22"/>
          <w:lang w:eastAsia="hr-HR"/>
        </w:rPr>
        <w:t xml:space="preserve">U skladu s člankom 66. Zakona o zaštiti okoliša Općina Jelenje je prije donošenja Odluke o izradi prethodno zatražila mišljenje na nacrt odluke o izradi o potrebi provedbe postupka ocjene, odnosno strateške procjene utjecaja na okoliš, na temelju čega je Upravni odjel za prostorno uređenje, graditeljstvo i zaštitu okoliša Primorsko-goranske županije utvrdio da za predmetne Izmjene i dopune prostornog plana nije potrebno provesti procjenu utjecaja plana na okoliš, niti ocjenu o potrebi provedbe toga postupka. </w:t>
      </w:r>
    </w:p>
    <w:p w14:paraId="6BF62587" w14:textId="0ACE62E9" w:rsidR="00EC4BCD" w:rsidRPr="00EC4BCD" w:rsidRDefault="00EC4BCD" w:rsidP="00EC4BCD">
      <w:pPr>
        <w:keepNext/>
        <w:spacing w:after="120" w:line="276" w:lineRule="auto"/>
        <w:rPr>
          <w:rFonts w:eastAsia="Times New Roman" w:cs="Arial"/>
          <w:bCs/>
          <w:sz w:val="22"/>
          <w:lang w:eastAsia="hr-HR"/>
        </w:rPr>
      </w:pPr>
      <w:r w:rsidRPr="00EC4BCD">
        <w:rPr>
          <w:rFonts w:eastAsia="Times New Roman" w:cs="Arial"/>
          <w:bCs/>
          <w:sz w:val="22"/>
          <w:lang w:eastAsia="hr-HR"/>
        </w:rPr>
        <w:t>U skladu s člankom 94. Zakona o prostornom uređenju pozvana su javnopravna tijela posebnom obavijesti o javnoj raspravi za dostavu mišljenja o poštivanju zahtjeva iz članka 90. toga zakona te da su rješenja u skladu sa zahtjevima posebnih propisa i drugih dokumenata iz njihovog djelokruga.</w:t>
      </w:r>
      <w:r w:rsidR="001A283A">
        <w:rPr>
          <w:rFonts w:eastAsia="Times New Roman" w:cs="Arial"/>
          <w:bCs/>
          <w:sz w:val="22"/>
          <w:lang w:eastAsia="hr-HR"/>
        </w:rPr>
        <w:t xml:space="preserve"> </w:t>
      </w:r>
      <w:r w:rsidRPr="00EC4BCD">
        <w:rPr>
          <w:rFonts w:eastAsia="Times New Roman" w:cs="Arial"/>
          <w:bCs/>
          <w:sz w:val="22"/>
          <w:lang w:eastAsia="hr-HR"/>
        </w:rPr>
        <w:t xml:space="preserve">Sva mišljenja javnopravnih tijela pristigla u propisanom roku u objavi javne rasprave obrađena su u izvješću o javnoj raspravi (kao sastavnim dijelom dokumentacije o izradi Izmjena i dopuna prostornog plana). </w:t>
      </w:r>
    </w:p>
    <w:p w14:paraId="1AB397C9" w14:textId="77777777" w:rsidR="001A283A"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Temeljem članka 94. Zakona o prostornom uređenju, Jedinstveni upravni odjel Općine Jelenje, kao nositelj izrade Izmjena i dopuna prostornog plana, proveo je javnu raspravu o Prijedlogu</w:t>
      </w:r>
      <w:r w:rsidR="001A283A">
        <w:rPr>
          <w:rFonts w:eastAsia="Times New Roman" w:cs="Arial"/>
          <w:sz w:val="22"/>
          <w:lang w:eastAsia="hr-HR"/>
        </w:rPr>
        <w:t xml:space="preserve"> </w:t>
      </w:r>
      <w:r w:rsidR="001A283A" w:rsidRPr="001A283A">
        <w:rPr>
          <w:rFonts w:eastAsia="Times New Roman" w:cs="Arial"/>
          <w:sz w:val="22"/>
          <w:lang w:eastAsia="hr-HR"/>
        </w:rPr>
        <w:t>II. Izmjena i dopuna Detaljnog plana uređenja zone poslovne namjene Podhum K1</w:t>
      </w:r>
      <w:r w:rsidR="001A283A" w:rsidRPr="0032243F">
        <w:rPr>
          <w:rFonts w:eastAsia="Times New Roman" w:cs="Arial"/>
          <w:sz w:val="22"/>
          <w:vertAlign w:val="subscript"/>
          <w:lang w:eastAsia="hr-HR"/>
        </w:rPr>
        <w:t>1</w:t>
      </w:r>
      <w:r w:rsidRPr="00EC4BCD">
        <w:rPr>
          <w:rFonts w:eastAsia="Times New Roman" w:cs="Arial"/>
          <w:sz w:val="22"/>
          <w:lang w:eastAsia="hr-HR"/>
        </w:rPr>
        <w:t xml:space="preserve">. </w:t>
      </w:r>
    </w:p>
    <w:p w14:paraId="5D0AA25A" w14:textId="585927DD" w:rsidR="00EC4BCD" w:rsidRPr="00EC4BCD" w:rsidRDefault="0002705D" w:rsidP="00EC4BCD">
      <w:pPr>
        <w:keepNext/>
        <w:spacing w:after="120" w:line="276" w:lineRule="auto"/>
        <w:rPr>
          <w:rFonts w:eastAsia="Times New Roman" w:cs="Arial"/>
          <w:b/>
          <w:color w:val="1E9650"/>
          <w:sz w:val="22"/>
          <w:lang w:eastAsia="hr-HR"/>
        </w:rPr>
      </w:pPr>
      <w:r>
        <w:rPr>
          <w:rFonts w:eastAsia="Times New Roman" w:cs="Arial"/>
          <w:sz w:val="22"/>
          <w:lang w:eastAsia="hr-HR"/>
        </w:rPr>
        <w:t xml:space="preserve">Obavijest o javnoj raspravi objavljena je </w:t>
      </w:r>
      <w:r w:rsidR="00EC4BCD" w:rsidRPr="00EC4BCD">
        <w:rPr>
          <w:rFonts w:eastAsia="Times New Roman" w:cs="Arial"/>
          <w:sz w:val="22"/>
          <w:lang w:eastAsia="hr-HR"/>
        </w:rPr>
        <w:t xml:space="preserve">u „Novom listu“, na mrežnoj stranici Općine Jelenje, zatim na mrežnoj stranici Ministarstva prostornoga uređenja, graditeljstva i državne imovine te na oglasnoj ploči Općine Jelenje. Neposrednim pozivom javnopravnim tijelima upućena je posebna pisana obavijest. Javni uvid u Prijedlog </w:t>
      </w:r>
      <w:r>
        <w:rPr>
          <w:rFonts w:eastAsia="Times New Roman" w:cs="Arial"/>
          <w:sz w:val="22"/>
          <w:lang w:eastAsia="hr-HR"/>
        </w:rPr>
        <w:t xml:space="preserve">plana </w:t>
      </w:r>
      <w:r w:rsidR="00EC4BCD" w:rsidRPr="00EC4BCD">
        <w:rPr>
          <w:rFonts w:eastAsia="Times New Roman" w:cs="Arial"/>
          <w:sz w:val="22"/>
          <w:lang w:eastAsia="hr-HR"/>
        </w:rPr>
        <w:t xml:space="preserve">trajao je od </w:t>
      </w:r>
      <w:r>
        <w:rPr>
          <w:rFonts w:eastAsia="Times New Roman" w:cs="Arial"/>
          <w:sz w:val="22"/>
          <w:lang w:eastAsia="hr-HR"/>
        </w:rPr>
        <w:t>18. srpnja do 1. kolovoza 2024.</w:t>
      </w:r>
      <w:r w:rsidR="00EC4BCD" w:rsidRPr="00EC4BCD">
        <w:rPr>
          <w:rFonts w:eastAsia="Times New Roman" w:cs="Arial"/>
          <w:sz w:val="22"/>
          <w:lang w:eastAsia="hr-HR"/>
        </w:rPr>
        <w:t xml:space="preserve"> Javni uvid mogao se izvršiti u </w:t>
      </w:r>
      <w:r>
        <w:rPr>
          <w:rFonts w:eastAsia="Times New Roman" w:cs="Arial"/>
          <w:sz w:val="22"/>
          <w:lang w:eastAsia="hr-HR"/>
        </w:rPr>
        <w:t>Općinskoj vijećnici Općine Jelenje</w:t>
      </w:r>
      <w:r w:rsidR="00EC4BCD" w:rsidRPr="00EC4BCD">
        <w:rPr>
          <w:rFonts w:eastAsia="Times New Roman" w:cs="Arial"/>
          <w:sz w:val="22"/>
          <w:lang w:eastAsia="hr-HR"/>
        </w:rPr>
        <w:t xml:space="preserve"> u Dražicama, </w:t>
      </w:r>
      <w:r>
        <w:rPr>
          <w:rFonts w:eastAsia="Times New Roman" w:cs="Arial"/>
          <w:sz w:val="22"/>
          <w:lang w:eastAsia="hr-HR"/>
        </w:rPr>
        <w:t xml:space="preserve">Dražičkih boraca 64, </w:t>
      </w:r>
      <w:r w:rsidR="00EC4BCD" w:rsidRPr="00EC4BCD">
        <w:rPr>
          <w:rFonts w:eastAsia="Times New Roman" w:cs="Arial"/>
          <w:sz w:val="22"/>
          <w:lang w:eastAsia="hr-HR"/>
        </w:rPr>
        <w:t xml:space="preserve">kao i na mrežnoj stranici Općine Jelenje: </w:t>
      </w:r>
      <w:r w:rsidRPr="0002705D">
        <w:rPr>
          <w:rFonts w:eastAsia="Times New Roman" w:cs="Arial"/>
          <w:sz w:val="22"/>
          <w:lang w:eastAsia="hr-HR"/>
        </w:rPr>
        <w:t>https://www.jelenje.hr/javno-izlaganje-zona-poslovne-namjene-podhum/</w:t>
      </w:r>
      <w:r w:rsidR="00EC4BCD" w:rsidRPr="00EC4BCD">
        <w:rPr>
          <w:rFonts w:eastAsia="Times New Roman" w:cs="Arial"/>
          <w:sz w:val="22"/>
          <w:lang w:eastAsia="hr-HR"/>
        </w:rPr>
        <w:t xml:space="preserve">. Javno izlaganje održano je </w:t>
      </w:r>
      <w:r>
        <w:rPr>
          <w:rFonts w:eastAsia="Times New Roman" w:cs="Arial"/>
          <w:sz w:val="22"/>
          <w:lang w:eastAsia="hr-HR"/>
        </w:rPr>
        <w:t>19. srpnja 2024.</w:t>
      </w:r>
      <w:r w:rsidR="00EC4BCD" w:rsidRPr="00EC4BCD">
        <w:rPr>
          <w:rFonts w:eastAsia="Times New Roman" w:cs="Arial"/>
          <w:sz w:val="22"/>
          <w:lang w:eastAsia="hr-HR"/>
        </w:rPr>
        <w:t xml:space="preserve"> u</w:t>
      </w:r>
      <w:r>
        <w:rPr>
          <w:rFonts w:eastAsia="Times New Roman" w:cs="Arial"/>
          <w:sz w:val="22"/>
          <w:lang w:eastAsia="hr-HR"/>
        </w:rPr>
        <w:t xml:space="preserve"> Općinskoj vijećnici Općine Jelenje.</w:t>
      </w:r>
    </w:p>
    <w:p w14:paraId="7C034FB3" w14:textId="69731B82" w:rsidR="00EC4BCD" w:rsidRPr="00EC4BCD"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Primjedbe su se mogle dostaviti pisanim putem i to poštom ili elektroničkom poštom ili urudžbirati u pisarnici tijekom trajanja javne rasprave te izjavom na javnom izlaganju. U Izvješću o javnoj raspravi razmotrene su sve primjedbe zaprimljene unutar roka za dostavu primjedbi. Na usmene prijedloge i primjedbe dane tijekom javnog izlaganja je i odgovoreno</w:t>
      </w:r>
      <w:r w:rsidR="0002705D">
        <w:rPr>
          <w:rFonts w:eastAsia="Times New Roman" w:cs="Arial"/>
          <w:sz w:val="22"/>
          <w:lang w:eastAsia="hr-HR"/>
        </w:rPr>
        <w:t xml:space="preserve">. </w:t>
      </w:r>
      <w:r w:rsidRPr="00EC4BCD">
        <w:rPr>
          <w:rFonts w:eastAsia="Times New Roman" w:cs="Arial"/>
          <w:sz w:val="22"/>
          <w:lang w:eastAsia="hr-HR"/>
        </w:rPr>
        <w:t xml:space="preserve">Pisanih očitavanja javnopravnih tijela u roku je pristiglo ukupno </w:t>
      </w:r>
      <w:r w:rsidR="0032243F">
        <w:rPr>
          <w:rFonts w:eastAsia="Times New Roman" w:cs="Arial"/>
          <w:sz w:val="22"/>
          <w:lang w:eastAsia="hr-HR"/>
        </w:rPr>
        <w:t>4</w:t>
      </w:r>
      <w:r w:rsidRPr="00EC4BCD">
        <w:rPr>
          <w:rFonts w:eastAsia="Times New Roman" w:cs="Arial"/>
          <w:sz w:val="22"/>
          <w:lang w:eastAsia="hr-HR"/>
        </w:rPr>
        <w:t xml:space="preserve">, dok ih je od ostalih sudionika u javnoj raspravi u roku dostavljeno </w:t>
      </w:r>
      <w:r w:rsidR="0032243F">
        <w:rPr>
          <w:rFonts w:eastAsia="Times New Roman" w:cs="Arial"/>
          <w:sz w:val="22"/>
          <w:lang w:eastAsia="hr-HR"/>
        </w:rPr>
        <w:t>0</w:t>
      </w:r>
      <w:r w:rsidRPr="00EC4BCD">
        <w:rPr>
          <w:rFonts w:eastAsia="Times New Roman" w:cs="Arial"/>
          <w:sz w:val="22"/>
          <w:lang w:eastAsia="hr-HR"/>
        </w:rPr>
        <w:t>. Na usmene prijedloge i primjedbe dane tijekom javnog izlaganja je i odgovoreno</w:t>
      </w:r>
      <w:r w:rsidR="0032243F">
        <w:rPr>
          <w:rFonts w:eastAsia="Times New Roman" w:cs="Arial"/>
          <w:sz w:val="22"/>
          <w:lang w:eastAsia="hr-HR"/>
        </w:rPr>
        <w:t>.</w:t>
      </w:r>
      <w:r w:rsidRPr="00EC4BCD">
        <w:rPr>
          <w:rFonts w:eastAsia="Times New Roman" w:cs="Arial"/>
          <w:sz w:val="22"/>
          <w:lang w:eastAsia="hr-HR"/>
        </w:rPr>
        <w:t xml:space="preserve"> </w:t>
      </w:r>
    </w:p>
    <w:p w14:paraId="091B4A5F" w14:textId="17F182AA" w:rsidR="00EC4BCD" w:rsidRPr="00EC4BCD"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 xml:space="preserve">U skladu s člankom 102. Zakona o prostornom uređenju, odgovorni voditelj izrade u suradnji s nositeljem izrade obradio je sva mišljenja, prijedloge i primjedbe iznesene u javnoj raspravi </w:t>
      </w:r>
      <w:r w:rsidRPr="00EC4BCD">
        <w:rPr>
          <w:rFonts w:eastAsia="Times New Roman" w:cs="Arial"/>
          <w:sz w:val="22"/>
          <w:lang w:eastAsia="hr-HR"/>
        </w:rPr>
        <w:lastRenderedPageBreak/>
        <w:t>te pripremio Izvješće o javnoj raspravi. Izvješća su objavljena na oglasnoj ploči i mrežnim stranicama Općine Jelenje te na stranicama Ministarstva prostornog uređenja, graditeljstva i državne imovine</w:t>
      </w:r>
      <w:r w:rsidR="0032243F">
        <w:rPr>
          <w:rFonts w:eastAsia="Times New Roman" w:cs="Arial"/>
          <w:sz w:val="22"/>
          <w:lang w:eastAsia="hr-HR"/>
        </w:rPr>
        <w:t>.</w:t>
      </w:r>
    </w:p>
    <w:p w14:paraId="7700DAD3" w14:textId="046C6862" w:rsidR="00EC4BCD" w:rsidRPr="00EC4BCD"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 xml:space="preserve">Općinski načelnik Općine Jelenje utvrdio je konačni prijedlog </w:t>
      </w:r>
      <w:r w:rsidR="0032243F" w:rsidRPr="0032243F">
        <w:rPr>
          <w:rFonts w:eastAsia="Times New Roman" w:cs="Arial"/>
          <w:sz w:val="22"/>
          <w:lang w:eastAsia="hr-HR"/>
        </w:rPr>
        <w:t>II. Izmjena i dopuna Detaljnog plana uređenja zone poslovne namjene K1</w:t>
      </w:r>
      <w:r w:rsidR="0032243F" w:rsidRPr="0032243F">
        <w:rPr>
          <w:rFonts w:eastAsia="Times New Roman" w:cs="Arial"/>
          <w:sz w:val="22"/>
          <w:vertAlign w:val="subscript"/>
          <w:lang w:eastAsia="hr-HR"/>
        </w:rPr>
        <w:t>1</w:t>
      </w:r>
      <w:r w:rsidR="0032243F" w:rsidRPr="0032243F">
        <w:rPr>
          <w:rFonts w:eastAsia="Times New Roman" w:cs="Arial"/>
          <w:sz w:val="22"/>
          <w:lang w:eastAsia="hr-HR"/>
        </w:rPr>
        <w:t xml:space="preserve"> „Podhum“</w:t>
      </w:r>
      <w:r w:rsidR="0032243F">
        <w:rPr>
          <w:rFonts w:eastAsia="Times New Roman" w:cs="Arial"/>
          <w:sz w:val="22"/>
          <w:lang w:eastAsia="hr-HR"/>
        </w:rPr>
        <w:t>,</w:t>
      </w:r>
      <w:r w:rsidRPr="00EC4BCD">
        <w:rPr>
          <w:rFonts w:eastAsia="Times New Roman" w:cs="Arial"/>
          <w:sz w:val="22"/>
          <w:lang w:eastAsia="hr-HR"/>
        </w:rPr>
        <w:t xml:space="preserve"> Zaključkom</w:t>
      </w:r>
      <w:r w:rsidR="0032243F">
        <w:rPr>
          <w:rFonts w:eastAsia="Times New Roman" w:cs="Arial"/>
          <w:sz w:val="22"/>
          <w:lang w:eastAsia="hr-HR"/>
        </w:rPr>
        <w:t xml:space="preserve"> </w:t>
      </w:r>
      <w:r w:rsidR="0032243F" w:rsidRPr="0032243F">
        <w:rPr>
          <w:rFonts w:eastAsia="Times New Roman" w:cs="Arial"/>
          <w:sz w:val="22"/>
          <w:lang w:eastAsia="hr-HR"/>
        </w:rPr>
        <w:t>KLASA:</w:t>
      </w:r>
      <w:r w:rsidR="0032243F">
        <w:rPr>
          <w:rFonts w:eastAsia="Times New Roman" w:cs="Arial"/>
          <w:sz w:val="22"/>
          <w:lang w:eastAsia="hr-HR"/>
        </w:rPr>
        <w:t xml:space="preserve"> </w:t>
      </w:r>
      <w:r w:rsidR="0032243F" w:rsidRPr="0032243F">
        <w:rPr>
          <w:rFonts w:eastAsia="Times New Roman" w:cs="Arial"/>
          <w:sz w:val="22"/>
          <w:lang w:eastAsia="hr-HR"/>
        </w:rPr>
        <w:t>350-04/23-03/1</w:t>
      </w:r>
      <w:r w:rsidR="0032243F">
        <w:rPr>
          <w:rFonts w:eastAsia="Times New Roman" w:cs="Arial"/>
          <w:sz w:val="22"/>
          <w:lang w:eastAsia="hr-HR"/>
        </w:rPr>
        <w:t xml:space="preserve">, </w:t>
      </w:r>
      <w:r w:rsidR="0032243F" w:rsidRPr="0032243F">
        <w:rPr>
          <w:rFonts w:eastAsia="Times New Roman" w:cs="Arial"/>
          <w:sz w:val="22"/>
          <w:lang w:eastAsia="hr-HR"/>
        </w:rPr>
        <w:t>URBROJ:</w:t>
      </w:r>
      <w:r w:rsidR="0032243F">
        <w:rPr>
          <w:rFonts w:eastAsia="Times New Roman" w:cs="Arial"/>
          <w:sz w:val="22"/>
          <w:lang w:eastAsia="hr-HR"/>
        </w:rPr>
        <w:t xml:space="preserve"> </w:t>
      </w:r>
      <w:r w:rsidR="0032243F" w:rsidRPr="0032243F">
        <w:rPr>
          <w:rFonts w:eastAsia="Times New Roman" w:cs="Arial"/>
          <w:sz w:val="22"/>
          <w:lang w:eastAsia="hr-HR"/>
        </w:rPr>
        <w:t>2170-20-03-01/03-24-40</w:t>
      </w:r>
      <w:r w:rsidR="0032243F">
        <w:rPr>
          <w:rFonts w:eastAsia="Times New Roman" w:cs="Arial"/>
          <w:sz w:val="22"/>
          <w:lang w:eastAsia="hr-HR"/>
        </w:rPr>
        <w:t xml:space="preserve"> od </w:t>
      </w:r>
      <w:r w:rsidR="0032243F" w:rsidRPr="0032243F">
        <w:rPr>
          <w:rFonts w:eastAsia="Times New Roman" w:cs="Arial"/>
          <w:sz w:val="22"/>
          <w:lang w:eastAsia="hr-HR"/>
        </w:rPr>
        <w:t>4. prosinca 2024.</w:t>
      </w:r>
      <w:r w:rsidR="0032243F">
        <w:rPr>
          <w:rFonts w:eastAsia="Times New Roman" w:cs="Arial"/>
          <w:sz w:val="22"/>
          <w:lang w:eastAsia="hr-HR"/>
        </w:rPr>
        <w:t xml:space="preserve">, </w:t>
      </w:r>
      <w:r w:rsidRPr="00EC4BCD">
        <w:rPr>
          <w:rFonts w:eastAsia="Times New Roman" w:cs="Arial"/>
          <w:sz w:val="22"/>
          <w:lang w:eastAsia="hr-HR"/>
        </w:rPr>
        <w:t>a sukladno članku 105. stavak 3. Zakona o prostornom uređenju.</w:t>
      </w:r>
    </w:p>
    <w:p w14:paraId="76D7D952" w14:textId="77777777" w:rsidR="00EC4BCD" w:rsidRPr="00EC4BCD"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 xml:space="preserve">Temeljem članka 109. stavak 4. Zakona o prostornom uređenju, prostorni plan uređenja općine donosi općinsko vijeće. </w:t>
      </w:r>
    </w:p>
    <w:p w14:paraId="51B9049E" w14:textId="77777777" w:rsidR="00EC4BCD" w:rsidRPr="0032243F" w:rsidRDefault="00EC4BCD" w:rsidP="00EC4BCD">
      <w:pPr>
        <w:keepNext/>
        <w:spacing w:after="120" w:line="276" w:lineRule="auto"/>
        <w:rPr>
          <w:rFonts w:eastAsia="Times New Roman" w:cs="Arial"/>
          <w:sz w:val="22"/>
          <w:lang w:eastAsia="hr-HR"/>
        </w:rPr>
      </w:pPr>
      <w:r w:rsidRPr="00EC4BCD">
        <w:rPr>
          <w:rFonts w:eastAsia="Times New Roman" w:cs="Arial"/>
          <w:sz w:val="22"/>
          <w:lang w:eastAsia="hr-HR"/>
        </w:rPr>
        <w:t xml:space="preserve">Jedinstveni upravni odjel Općine Jelenje je, sukladno članku 106. Zakona o prostornom uređenju, prije upućivanja konačnog prijedloga izmjena i dopuna prostornog plana Općinskom vijeću Općine Jelenje na donošenje, poslao sudionicima javne rasprave pisane obavijesti o tome s obrazloženjem o razlozima neprihvaćanja, odnosno djelomičnog prihvaćanja </w:t>
      </w:r>
      <w:r w:rsidRPr="0032243F">
        <w:rPr>
          <w:rFonts w:eastAsia="Times New Roman" w:cs="Arial"/>
          <w:sz w:val="22"/>
          <w:lang w:eastAsia="hr-HR"/>
        </w:rPr>
        <w:t xml:space="preserve">prijedloga i primjedbi. </w:t>
      </w:r>
    </w:p>
    <w:p w14:paraId="36B68AEA" w14:textId="733B01B6" w:rsidR="00EC4BCD" w:rsidRPr="0032243F" w:rsidRDefault="0032243F" w:rsidP="00EC4BCD">
      <w:pPr>
        <w:widowControl w:val="0"/>
        <w:autoSpaceDE w:val="0"/>
        <w:autoSpaceDN w:val="0"/>
        <w:spacing w:before="72" w:after="120" w:line="276" w:lineRule="auto"/>
        <w:ind w:right="244" w:firstLine="3"/>
        <w:rPr>
          <w:rFonts w:eastAsia="Times New Roman" w:cs="Arial"/>
          <w:sz w:val="22"/>
        </w:rPr>
      </w:pPr>
      <w:r w:rsidRPr="0032243F">
        <w:rPr>
          <w:rFonts w:eastAsia="Times New Roman" w:cs="Arial"/>
          <w:sz w:val="22"/>
        </w:rPr>
        <w:t>Slijedom svega iznesenog, upućuje se Općinskom vijeću Općine Jelenje ovaj projedlog odluke na donošenje.</w:t>
      </w:r>
    </w:p>
    <w:p w14:paraId="203B3D30"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752C2064"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0B136BF5"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BCA8B8E"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36ED10B"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5CB543D"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7481B23"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656FCB2F"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090D3E6"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78DB2560"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4E1B94C1"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48450A49"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29F558B4"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1C00D90D"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462FA1E5" w14:textId="77777777" w:rsidR="00EC4BCD" w:rsidRDefault="00EC4BCD" w:rsidP="00EC4BCD">
      <w:pPr>
        <w:widowControl w:val="0"/>
        <w:autoSpaceDE w:val="0"/>
        <w:autoSpaceDN w:val="0"/>
        <w:spacing w:before="72" w:after="120" w:line="276" w:lineRule="auto"/>
        <w:ind w:right="244" w:firstLine="3"/>
        <w:rPr>
          <w:rFonts w:eastAsia="Times New Roman" w:cs="Arial"/>
          <w:szCs w:val="20"/>
        </w:rPr>
      </w:pPr>
    </w:p>
    <w:p w14:paraId="360C4538" w14:textId="77777777" w:rsidR="00DB32A4" w:rsidRDefault="00DB32A4" w:rsidP="00EC4BCD">
      <w:pPr>
        <w:widowControl w:val="0"/>
        <w:autoSpaceDE w:val="0"/>
        <w:autoSpaceDN w:val="0"/>
        <w:spacing w:before="72" w:after="120" w:line="276" w:lineRule="auto"/>
        <w:ind w:right="244" w:firstLine="3"/>
        <w:rPr>
          <w:rFonts w:eastAsia="Times New Roman" w:cs="Arial"/>
          <w:szCs w:val="20"/>
        </w:rPr>
      </w:pPr>
    </w:p>
    <w:p w14:paraId="0F28B710" w14:textId="77777777" w:rsidR="00DB32A4" w:rsidRDefault="00DB32A4" w:rsidP="00EC4BCD">
      <w:pPr>
        <w:widowControl w:val="0"/>
        <w:autoSpaceDE w:val="0"/>
        <w:autoSpaceDN w:val="0"/>
        <w:spacing w:before="72" w:after="120" w:line="276" w:lineRule="auto"/>
        <w:ind w:right="244" w:firstLine="3"/>
        <w:rPr>
          <w:rFonts w:eastAsia="Times New Roman" w:cs="Arial"/>
          <w:szCs w:val="20"/>
        </w:rPr>
      </w:pPr>
    </w:p>
    <w:p w14:paraId="301141E1" w14:textId="77777777" w:rsidR="00DB32A4" w:rsidRDefault="00DB32A4" w:rsidP="00EC4BCD">
      <w:pPr>
        <w:widowControl w:val="0"/>
        <w:autoSpaceDE w:val="0"/>
        <w:autoSpaceDN w:val="0"/>
        <w:spacing w:before="72" w:after="120" w:line="276" w:lineRule="auto"/>
        <w:ind w:right="244" w:firstLine="3"/>
        <w:rPr>
          <w:rFonts w:eastAsia="Times New Roman" w:cs="Arial"/>
          <w:szCs w:val="20"/>
        </w:rPr>
      </w:pPr>
    </w:p>
    <w:p w14:paraId="5B7653F5" w14:textId="77777777" w:rsidR="00DB32A4" w:rsidRDefault="00DB32A4" w:rsidP="00EC4BCD">
      <w:pPr>
        <w:widowControl w:val="0"/>
        <w:autoSpaceDE w:val="0"/>
        <w:autoSpaceDN w:val="0"/>
        <w:spacing w:before="72" w:after="120" w:line="276" w:lineRule="auto"/>
        <w:ind w:right="244" w:firstLine="3"/>
        <w:rPr>
          <w:rFonts w:eastAsia="Times New Roman" w:cs="Arial"/>
          <w:szCs w:val="20"/>
        </w:rPr>
      </w:pPr>
    </w:p>
    <w:p w14:paraId="09C16458"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5866F0A0"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69B2AC33"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37E7584D" w14:textId="77777777" w:rsidR="0032243F" w:rsidRDefault="0032243F" w:rsidP="00EC4BCD">
      <w:pPr>
        <w:widowControl w:val="0"/>
        <w:autoSpaceDE w:val="0"/>
        <w:autoSpaceDN w:val="0"/>
        <w:spacing w:before="72" w:after="120" w:line="276" w:lineRule="auto"/>
        <w:ind w:right="244" w:firstLine="3"/>
        <w:rPr>
          <w:rFonts w:eastAsia="Times New Roman" w:cs="Arial"/>
          <w:szCs w:val="20"/>
        </w:rPr>
      </w:pPr>
    </w:p>
    <w:p w14:paraId="1B2A8C6B" w14:textId="13FC03EF" w:rsidR="000E4D66" w:rsidRPr="000E4D66" w:rsidRDefault="000E4D66" w:rsidP="00EC4BCD">
      <w:pPr>
        <w:widowControl w:val="0"/>
        <w:autoSpaceDE w:val="0"/>
        <w:autoSpaceDN w:val="0"/>
        <w:spacing w:before="72" w:after="120" w:line="276" w:lineRule="auto"/>
        <w:ind w:right="244" w:firstLine="3"/>
        <w:rPr>
          <w:rFonts w:eastAsia="Times New Roman" w:cs="Arial"/>
          <w:szCs w:val="20"/>
        </w:rPr>
      </w:pPr>
      <w:r w:rsidRPr="000E4D66">
        <w:rPr>
          <w:rFonts w:eastAsia="Times New Roman" w:cs="Arial"/>
          <w:szCs w:val="20"/>
        </w:rPr>
        <w:lastRenderedPageBreak/>
        <w:t xml:space="preserve">Na temelju članka 109. </w:t>
      </w:r>
      <w:r w:rsidR="00026DD7">
        <w:rPr>
          <w:rFonts w:eastAsia="Times New Roman" w:cs="Arial"/>
          <w:szCs w:val="20"/>
        </w:rPr>
        <w:t>stavak 4.</w:t>
      </w:r>
      <w:r w:rsidRPr="000E4D66">
        <w:rPr>
          <w:rFonts w:eastAsia="Times New Roman" w:cs="Arial"/>
          <w:szCs w:val="20"/>
        </w:rPr>
        <w:t xml:space="preserve"> Zakona </w:t>
      </w:r>
      <w:r w:rsidRPr="000E4D66">
        <w:rPr>
          <w:rFonts w:eastAsia="Times New Roman" w:cs="Arial"/>
          <w:color w:val="2D2D2D"/>
          <w:szCs w:val="20"/>
        </w:rPr>
        <w:t xml:space="preserve">o </w:t>
      </w:r>
      <w:r w:rsidRPr="000E4D66">
        <w:rPr>
          <w:rFonts w:eastAsia="Times New Roman" w:cs="Arial"/>
          <w:szCs w:val="20"/>
        </w:rPr>
        <w:t>prostornom uređenju („Narodne Novine“ br</w:t>
      </w:r>
      <w:r w:rsidR="00026DD7">
        <w:rPr>
          <w:rFonts w:eastAsia="Times New Roman" w:cs="Arial"/>
          <w:szCs w:val="20"/>
        </w:rPr>
        <w:t xml:space="preserve">oj </w:t>
      </w:r>
      <w:r w:rsidRPr="000E4D66">
        <w:rPr>
          <w:rFonts w:eastAsia="Times New Roman" w:cs="Arial"/>
          <w:szCs w:val="20"/>
        </w:rPr>
        <w:t>153/13, 65/17, 114/18,</w:t>
      </w:r>
      <w:r w:rsidRPr="000E4D66">
        <w:rPr>
          <w:rFonts w:eastAsia="Times New Roman" w:cs="Arial"/>
          <w:spacing w:val="33"/>
          <w:szCs w:val="20"/>
        </w:rPr>
        <w:t xml:space="preserve"> </w:t>
      </w:r>
      <w:r w:rsidRPr="000E4D66">
        <w:rPr>
          <w:rFonts w:eastAsia="Times New Roman" w:cs="Arial"/>
          <w:szCs w:val="20"/>
        </w:rPr>
        <w:t>39/19</w:t>
      </w:r>
      <w:r w:rsidRPr="000E4D66">
        <w:rPr>
          <w:rFonts w:eastAsia="Times New Roman" w:cs="Arial"/>
          <w:spacing w:val="-10"/>
          <w:szCs w:val="20"/>
        </w:rPr>
        <w:t xml:space="preserve"> </w:t>
      </w:r>
      <w:r w:rsidRPr="000E4D66">
        <w:rPr>
          <w:rFonts w:eastAsia="Times New Roman" w:cs="Arial"/>
          <w:szCs w:val="20"/>
        </w:rPr>
        <w:t>i</w:t>
      </w:r>
      <w:r w:rsidRPr="000E4D66">
        <w:rPr>
          <w:rFonts w:eastAsia="Times New Roman" w:cs="Arial"/>
          <w:spacing w:val="-16"/>
          <w:szCs w:val="20"/>
        </w:rPr>
        <w:t xml:space="preserve"> </w:t>
      </w:r>
      <w:r w:rsidRPr="000E4D66">
        <w:rPr>
          <w:rFonts w:eastAsia="Times New Roman" w:cs="Arial"/>
          <w:szCs w:val="20"/>
        </w:rPr>
        <w:t>98/19)</w:t>
      </w:r>
      <w:r w:rsidR="00026DD7">
        <w:rPr>
          <w:rFonts w:eastAsia="Times New Roman" w:cs="Arial"/>
          <w:szCs w:val="20"/>
        </w:rPr>
        <w:t xml:space="preserve"> </w:t>
      </w:r>
      <w:r w:rsidRPr="000E4D66">
        <w:rPr>
          <w:rFonts w:eastAsia="Times New Roman" w:cs="Arial"/>
          <w:szCs w:val="20"/>
        </w:rPr>
        <w:t>i</w:t>
      </w:r>
      <w:r w:rsidRPr="000E4D66">
        <w:rPr>
          <w:rFonts w:eastAsia="Times New Roman" w:cs="Arial"/>
          <w:spacing w:val="-14"/>
          <w:szCs w:val="20"/>
        </w:rPr>
        <w:t xml:space="preserve"> </w:t>
      </w:r>
      <w:r w:rsidRPr="000E4D66">
        <w:rPr>
          <w:rFonts w:eastAsia="Times New Roman" w:cs="Arial"/>
          <w:szCs w:val="20"/>
        </w:rPr>
        <w:t>članka</w:t>
      </w:r>
      <w:r w:rsidRPr="000E4D66">
        <w:rPr>
          <w:rFonts w:eastAsia="Times New Roman" w:cs="Arial"/>
          <w:spacing w:val="-7"/>
          <w:szCs w:val="20"/>
        </w:rPr>
        <w:t xml:space="preserve"> </w:t>
      </w:r>
      <w:r w:rsidR="00026DD7">
        <w:rPr>
          <w:rFonts w:eastAsia="Times New Roman" w:cs="Arial"/>
          <w:spacing w:val="-7"/>
          <w:szCs w:val="20"/>
        </w:rPr>
        <w:t>33. stavak 1. točka 19.</w:t>
      </w:r>
      <w:r w:rsidRPr="000E4D66">
        <w:rPr>
          <w:rFonts w:eastAsia="Times New Roman" w:cs="Arial"/>
          <w:spacing w:val="-13"/>
          <w:szCs w:val="20"/>
        </w:rPr>
        <w:t xml:space="preserve"> </w:t>
      </w:r>
      <w:r w:rsidRPr="000E4D66">
        <w:rPr>
          <w:rFonts w:eastAsia="Times New Roman" w:cs="Arial"/>
          <w:szCs w:val="20"/>
        </w:rPr>
        <w:t>Statuta</w:t>
      </w:r>
      <w:r w:rsidRPr="000E4D66">
        <w:rPr>
          <w:rFonts w:eastAsia="Times New Roman" w:cs="Arial"/>
          <w:spacing w:val="-7"/>
          <w:szCs w:val="20"/>
        </w:rPr>
        <w:t xml:space="preserve"> </w:t>
      </w:r>
      <w:r>
        <w:rPr>
          <w:rFonts w:eastAsia="Times New Roman" w:cs="Arial"/>
          <w:szCs w:val="20"/>
        </w:rPr>
        <w:t>Općine Jelenje</w:t>
      </w:r>
      <w:r w:rsidRPr="000E4D66">
        <w:rPr>
          <w:rFonts w:eastAsia="Times New Roman" w:cs="Arial"/>
          <w:spacing w:val="-13"/>
          <w:szCs w:val="20"/>
        </w:rPr>
        <w:t xml:space="preserve"> </w:t>
      </w:r>
      <w:r w:rsidRPr="000E4D66">
        <w:rPr>
          <w:rFonts w:eastAsia="Times New Roman" w:cs="Arial"/>
          <w:szCs w:val="20"/>
        </w:rPr>
        <w:t>(</w:t>
      </w:r>
      <w:r w:rsidR="00026DD7">
        <w:rPr>
          <w:rFonts w:eastAsia="Times New Roman" w:cs="Arial"/>
          <w:szCs w:val="20"/>
        </w:rPr>
        <w:t>„</w:t>
      </w:r>
      <w:r w:rsidRPr="00026DD7">
        <w:rPr>
          <w:rFonts w:eastAsia="Times New Roman" w:cs="Arial"/>
          <w:szCs w:val="20"/>
        </w:rPr>
        <w:t>Službene novine Općine Jelenje</w:t>
      </w:r>
      <w:r w:rsidR="00026DD7">
        <w:rPr>
          <w:rFonts w:eastAsia="Times New Roman" w:cs="Arial"/>
          <w:szCs w:val="20"/>
        </w:rPr>
        <w:t>“ broj 59/23</w:t>
      </w:r>
      <w:r w:rsidRPr="000E4D66">
        <w:rPr>
          <w:rFonts w:eastAsia="Times New Roman" w:cs="Arial"/>
          <w:szCs w:val="20"/>
        </w:rPr>
        <w:t>),</w:t>
      </w:r>
      <w:r w:rsidRPr="000E4D66">
        <w:rPr>
          <w:rFonts w:eastAsia="Times New Roman" w:cs="Arial"/>
          <w:spacing w:val="-9"/>
          <w:szCs w:val="20"/>
        </w:rPr>
        <w:t xml:space="preserve"> </w:t>
      </w:r>
      <w:r>
        <w:rPr>
          <w:rFonts w:eastAsia="Times New Roman" w:cs="Arial"/>
          <w:color w:val="262626"/>
          <w:szCs w:val="20"/>
        </w:rPr>
        <w:t>Općinsko</w:t>
      </w:r>
      <w:r w:rsidRPr="000E4D66">
        <w:rPr>
          <w:rFonts w:eastAsia="Times New Roman" w:cs="Arial"/>
          <w:color w:val="262626"/>
          <w:szCs w:val="20"/>
        </w:rPr>
        <w:t xml:space="preserve"> vijeće </w:t>
      </w:r>
      <w:r>
        <w:rPr>
          <w:rFonts w:eastAsia="Times New Roman" w:cs="Arial"/>
          <w:color w:val="262626"/>
          <w:szCs w:val="20"/>
        </w:rPr>
        <w:t>Općine Jelenje</w:t>
      </w:r>
      <w:r w:rsidRPr="000E4D66">
        <w:rPr>
          <w:rFonts w:eastAsia="Times New Roman" w:cs="Arial"/>
          <w:color w:val="262626"/>
          <w:szCs w:val="20"/>
        </w:rPr>
        <w:t xml:space="preserve"> na </w:t>
      </w:r>
      <w:r w:rsidR="00026DD7" w:rsidRPr="00026DD7">
        <w:rPr>
          <w:rFonts w:eastAsia="Times New Roman" w:cs="Arial"/>
          <w:szCs w:val="20"/>
        </w:rPr>
        <w:t>23.</w:t>
      </w:r>
      <w:r w:rsidR="00026DD7">
        <w:rPr>
          <w:rFonts w:eastAsia="Times New Roman" w:cs="Arial"/>
          <w:szCs w:val="20"/>
        </w:rPr>
        <w:t xml:space="preserve"> </w:t>
      </w:r>
      <w:r w:rsidRPr="000E4D66">
        <w:rPr>
          <w:rFonts w:eastAsia="Times New Roman" w:cs="Arial"/>
          <w:color w:val="262626"/>
          <w:szCs w:val="20"/>
        </w:rPr>
        <w:t xml:space="preserve">sjednici održanoj dana </w:t>
      </w:r>
      <w:r w:rsidR="00026DD7" w:rsidRPr="00026DD7">
        <w:rPr>
          <w:rFonts w:eastAsia="Times New Roman" w:cs="Arial"/>
          <w:szCs w:val="20"/>
        </w:rPr>
        <w:t>18. prosinca 2024.</w:t>
      </w:r>
      <w:r w:rsidRPr="000E4D66">
        <w:rPr>
          <w:rFonts w:eastAsia="Times New Roman" w:cs="Arial"/>
          <w:color w:val="262626"/>
          <w:szCs w:val="20"/>
        </w:rPr>
        <w:t xml:space="preserve"> godine, donosi</w:t>
      </w:r>
    </w:p>
    <w:p w14:paraId="4A59AA08" w14:textId="77777777" w:rsidR="000E4D66" w:rsidRPr="000E4D66" w:rsidRDefault="000E4D66" w:rsidP="00EC4BCD">
      <w:pPr>
        <w:spacing w:after="120" w:line="276" w:lineRule="auto"/>
        <w:rPr>
          <w:rFonts w:cs="Arial"/>
          <w:szCs w:val="20"/>
        </w:rPr>
      </w:pPr>
    </w:p>
    <w:p w14:paraId="6CDCC17B" w14:textId="77777777" w:rsidR="000E4D66" w:rsidRPr="000E4D66" w:rsidRDefault="000E4D66" w:rsidP="00EC4BCD">
      <w:pPr>
        <w:spacing w:after="120" w:line="276" w:lineRule="auto"/>
        <w:rPr>
          <w:rFonts w:cs="Arial"/>
          <w:szCs w:val="20"/>
        </w:rPr>
      </w:pPr>
    </w:p>
    <w:p w14:paraId="6BF77DF2" w14:textId="77777777" w:rsidR="000E4D66" w:rsidRPr="000E4D66" w:rsidRDefault="000E4D66" w:rsidP="00EC4BCD">
      <w:pPr>
        <w:spacing w:after="120" w:line="276" w:lineRule="auto"/>
        <w:jc w:val="center"/>
        <w:rPr>
          <w:rFonts w:cs="Arial"/>
          <w:b/>
          <w:bCs/>
          <w:sz w:val="22"/>
        </w:rPr>
      </w:pPr>
      <w:r w:rsidRPr="000E4D66">
        <w:rPr>
          <w:rFonts w:cs="Arial"/>
          <w:b/>
          <w:bCs/>
          <w:sz w:val="22"/>
        </w:rPr>
        <w:t xml:space="preserve">ODLUKU </w:t>
      </w:r>
    </w:p>
    <w:p w14:paraId="10A7AD45" w14:textId="6EE51EAD" w:rsidR="000E4D66" w:rsidRPr="0032243F" w:rsidRDefault="000E4D66" w:rsidP="00EC4BCD">
      <w:pPr>
        <w:spacing w:after="120" w:line="276" w:lineRule="auto"/>
        <w:jc w:val="center"/>
        <w:rPr>
          <w:rFonts w:cs="Arial"/>
          <w:b/>
          <w:bCs/>
          <w:sz w:val="22"/>
        </w:rPr>
      </w:pPr>
      <w:r w:rsidRPr="000E4D66">
        <w:rPr>
          <w:rFonts w:cs="Arial"/>
          <w:b/>
          <w:bCs/>
          <w:sz w:val="22"/>
        </w:rPr>
        <w:t xml:space="preserve">o donošenju </w:t>
      </w:r>
      <w:r>
        <w:rPr>
          <w:rFonts w:cs="Arial"/>
          <w:b/>
          <w:bCs/>
          <w:sz w:val="22"/>
        </w:rPr>
        <w:t>II</w:t>
      </w:r>
      <w:r w:rsidR="00026DD7">
        <w:rPr>
          <w:rFonts w:cs="Arial"/>
          <w:b/>
          <w:bCs/>
          <w:sz w:val="22"/>
        </w:rPr>
        <w:t>.</w:t>
      </w:r>
      <w:r w:rsidRPr="000E4D66">
        <w:rPr>
          <w:rFonts w:cs="Arial"/>
          <w:b/>
          <w:bCs/>
          <w:sz w:val="22"/>
        </w:rPr>
        <w:t xml:space="preserve"> Izmjena i dopuna </w:t>
      </w:r>
      <w:r>
        <w:rPr>
          <w:rFonts w:cs="Arial"/>
          <w:b/>
          <w:bCs/>
          <w:sz w:val="22"/>
        </w:rPr>
        <w:t>Detaljnog</w:t>
      </w:r>
      <w:r w:rsidRPr="000E4D66">
        <w:rPr>
          <w:rFonts w:cs="Arial"/>
          <w:b/>
          <w:bCs/>
          <w:sz w:val="22"/>
        </w:rPr>
        <w:t xml:space="preserve"> plana uređenja </w:t>
      </w:r>
      <w:r>
        <w:rPr>
          <w:rFonts w:cs="Arial"/>
          <w:b/>
          <w:bCs/>
          <w:sz w:val="22"/>
        </w:rPr>
        <w:t>zone poslovne namjene K1</w:t>
      </w:r>
      <w:r>
        <w:rPr>
          <w:rFonts w:cs="Arial"/>
          <w:b/>
          <w:bCs/>
          <w:sz w:val="22"/>
          <w:vertAlign w:val="subscript"/>
        </w:rPr>
        <w:t>1</w:t>
      </w:r>
      <w:r w:rsidR="0032243F">
        <w:rPr>
          <w:rFonts w:cs="Arial"/>
          <w:b/>
          <w:bCs/>
          <w:sz w:val="22"/>
          <w:vertAlign w:val="subscript"/>
        </w:rPr>
        <w:t xml:space="preserve"> </w:t>
      </w:r>
      <w:r w:rsidR="0032243F">
        <w:rPr>
          <w:rFonts w:cs="Arial"/>
          <w:b/>
          <w:bCs/>
          <w:sz w:val="22"/>
        </w:rPr>
        <w:t>„Podhum“</w:t>
      </w:r>
      <w:r w:rsidR="00DB32A4">
        <w:rPr>
          <w:rFonts w:cs="Arial"/>
          <w:b/>
          <w:bCs/>
          <w:sz w:val="22"/>
        </w:rPr>
        <w:t xml:space="preserve"> (</w:t>
      </w:r>
      <w:r w:rsidR="00DB32A4" w:rsidRPr="00DB32A4">
        <w:rPr>
          <w:rFonts w:cs="Arial"/>
          <w:b/>
          <w:bCs/>
          <w:sz w:val="22"/>
        </w:rPr>
        <w:t>„Službene novine Primorsko-goranske županije“ br. 22/08, 35/09, 45/09</w:t>
      </w:r>
      <w:r w:rsidR="00DB32A4">
        <w:rPr>
          <w:rFonts w:cs="Arial"/>
          <w:b/>
          <w:bCs/>
          <w:sz w:val="22"/>
        </w:rPr>
        <w:t>)</w:t>
      </w:r>
    </w:p>
    <w:p w14:paraId="0BAEE964" w14:textId="77777777" w:rsidR="000E4D66" w:rsidRPr="000E4D66" w:rsidRDefault="000E4D66" w:rsidP="00EC4BCD">
      <w:pPr>
        <w:spacing w:after="120" w:line="276" w:lineRule="auto"/>
        <w:rPr>
          <w:rFonts w:cs="Arial"/>
          <w:szCs w:val="20"/>
        </w:rPr>
      </w:pPr>
    </w:p>
    <w:p w14:paraId="503C5314" w14:textId="77777777" w:rsidR="000E4D66" w:rsidRPr="000E4D66" w:rsidRDefault="000E4D66" w:rsidP="00EC4BCD">
      <w:pPr>
        <w:spacing w:after="120" w:line="276" w:lineRule="auto"/>
        <w:rPr>
          <w:rFonts w:cs="Arial"/>
          <w:szCs w:val="20"/>
        </w:rPr>
      </w:pPr>
    </w:p>
    <w:p w14:paraId="354C177C" w14:textId="77777777" w:rsidR="000E4D66" w:rsidRPr="000E4D66" w:rsidRDefault="000E4D66" w:rsidP="00EC4BCD">
      <w:pPr>
        <w:widowControl w:val="0"/>
        <w:tabs>
          <w:tab w:val="left" w:pos="397"/>
        </w:tabs>
        <w:suppressAutoHyphens/>
        <w:overflowPunct w:val="0"/>
        <w:autoSpaceDE w:val="0"/>
        <w:spacing w:after="120" w:line="276" w:lineRule="auto"/>
        <w:textAlignment w:val="baseline"/>
        <w:rPr>
          <w:rFonts w:eastAsia="Times New Roman" w:cs="Arial"/>
          <w:b/>
          <w:sz w:val="22"/>
          <w:lang w:eastAsia="hr-HR"/>
        </w:rPr>
      </w:pPr>
      <w:r w:rsidRPr="000E4D66">
        <w:rPr>
          <w:rFonts w:eastAsia="Times New Roman" w:cs="Arial"/>
          <w:b/>
          <w:sz w:val="22"/>
          <w:lang w:eastAsia="hr-HR"/>
        </w:rPr>
        <w:t xml:space="preserve">I. TEMELJNE ODREDBE </w:t>
      </w:r>
    </w:p>
    <w:p w14:paraId="432DB522" w14:textId="77777777" w:rsidR="000E4D66" w:rsidRPr="000E4D66" w:rsidRDefault="000E4D66" w:rsidP="00EC4BCD">
      <w:pPr>
        <w:widowControl w:val="0"/>
        <w:tabs>
          <w:tab w:val="left" w:pos="397"/>
        </w:tabs>
        <w:suppressAutoHyphens/>
        <w:overflowPunct w:val="0"/>
        <w:autoSpaceDE w:val="0"/>
        <w:spacing w:after="120" w:line="276" w:lineRule="auto"/>
        <w:textAlignment w:val="baseline"/>
        <w:rPr>
          <w:rFonts w:eastAsia="Times New Roman" w:cs="Arial"/>
          <w:bCs/>
          <w:szCs w:val="20"/>
          <w:lang w:eastAsia="hr-HR"/>
        </w:rPr>
      </w:pPr>
      <w:r w:rsidRPr="000E4D66">
        <w:rPr>
          <w:rFonts w:eastAsia="Times New Roman" w:cs="Arial"/>
          <w:bCs/>
          <w:szCs w:val="20"/>
          <w:lang w:eastAsia="hr-HR"/>
        </w:rPr>
        <w:t xml:space="preserve">Članak 1. </w:t>
      </w:r>
    </w:p>
    <w:p w14:paraId="4B8A9EF6" w14:textId="7906D832" w:rsidR="000E4D66" w:rsidRPr="000E4D66" w:rsidRDefault="000E4D66" w:rsidP="00EC4BCD">
      <w:pPr>
        <w:widowControl w:val="0"/>
        <w:numPr>
          <w:ilvl w:val="0"/>
          <w:numId w:val="41"/>
        </w:numPr>
        <w:tabs>
          <w:tab w:val="left" w:pos="397"/>
        </w:tabs>
        <w:suppressAutoHyphens/>
        <w:overflowPunct w:val="0"/>
        <w:autoSpaceDE w:val="0"/>
        <w:spacing w:after="120" w:line="276" w:lineRule="auto"/>
        <w:contextualSpacing/>
        <w:textAlignment w:val="baseline"/>
        <w:rPr>
          <w:rFonts w:eastAsia="Times New Roman" w:cs="Arial"/>
          <w:bCs/>
          <w:szCs w:val="20"/>
          <w:lang w:eastAsia="hr-HR"/>
        </w:rPr>
      </w:pPr>
      <w:r w:rsidRPr="000E4D66">
        <w:rPr>
          <w:rFonts w:eastAsia="Times New Roman" w:cs="Arial"/>
          <w:bCs/>
          <w:szCs w:val="20"/>
          <w:lang w:eastAsia="hr-HR"/>
        </w:rPr>
        <w:t xml:space="preserve">Donose se </w:t>
      </w:r>
      <w:bookmarkStart w:id="1" w:name="_Hlk184121594"/>
      <w:r>
        <w:rPr>
          <w:rFonts w:eastAsia="Times New Roman" w:cs="Arial"/>
          <w:bCs/>
          <w:szCs w:val="20"/>
          <w:lang w:eastAsia="hr-HR"/>
        </w:rPr>
        <w:t>II</w:t>
      </w:r>
      <w:r w:rsidRPr="000E4D66">
        <w:rPr>
          <w:rFonts w:eastAsia="Times New Roman" w:cs="Arial"/>
          <w:bCs/>
          <w:szCs w:val="20"/>
          <w:lang w:eastAsia="hr-HR"/>
        </w:rPr>
        <w:t xml:space="preserve">. Izmjene i dopune </w:t>
      </w:r>
      <w:r>
        <w:rPr>
          <w:rFonts w:cs="Arial"/>
          <w:szCs w:val="20"/>
        </w:rPr>
        <w:t>Detaljnog</w:t>
      </w:r>
      <w:r w:rsidRPr="000E4D66">
        <w:rPr>
          <w:rFonts w:cs="Arial"/>
          <w:szCs w:val="20"/>
        </w:rPr>
        <w:t xml:space="preserve"> plana uređenja </w:t>
      </w:r>
      <w:r>
        <w:rPr>
          <w:rFonts w:cs="Arial"/>
          <w:szCs w:val="20"/>
        </w:rPr>
        <w:t>zone poslovne namjene Podhum K1</w:t>
      </w:r>
      <w:r>
        <w:rPr>
          <w:rFonts w:cs="Arial"/>
          <w:szCs w:val="20"/>
          <w:vertAlign w:val="subscript"/>
        </w:rPr>
        <w:t>1</w:t>
      </w:r>
      <w:r w:rsidRPr="000E4D66">
        <w:rPr>
          <w:rFonts w:eastAsia="Times New Roman" w:cs="Arial"/>
          <w:bCs/>
          <w:szCs w:val="20"/>
          <w:lang w:eastAsia="hr-HR"/>
        </w:rPr>
        <w:t xml:space="preserve"> </w:t>
      </w:r>
      <w:bookmarkEnd w:id="1"/>
      <w:r w:rsidRPr="000E4D66">
        <w:rPr>
          <w:rFonts w:eastAsia="Times New Roman" w:cs="Arial"/>
          <w:bCs/>
          <w:szCs w:val="20"/>
          <w:lang w:eastAsia="hr-HR"/>
        </w:rPr>
        <w:t>(</w:t>
      </w:r>
      <w:r w:rsidR="00DB32A4" w:rsidRPr="00DB32A4">
        <w:rPr>
          <w:rFonts w:eastAsia="Times New Roman" w:cs="Arial"/>
          <w:bCs/>
          <w:szCs w:val="20"/>
          <w:lang w:eastAsia="hr-HR"/>
        </w:rPr>
        <w:t>„Službene novine Primorsko-goranske županije“ br. 22/08, 35/09, 45/09</w:t>
      </w:r>
      <w:r w:rsidR="00DB32A4">
        <w:rPr>
          <w:rFonts w:eastAsia="Times New Roman" w:cs="Arial"/>
          <w:bCs/>
          <w:szCs w:val="20"/>
          <w:lang w:eastAsia="hr-HR"/>
        </w:rPr>
        <w:t xml:space="preserve">; </w:t>
      </w:r>
      <w:r w:rsidRPr="000E4D66">
        <w:rPr>
          <w:rFonts w:eastAsia="Times New Roman" w:cs="Arial"/>
          <w:bCs/>
          <w:szCs w:val="20"/>
          <w:lang w:eastAsia="hr-HR"/>
        </w:rPr>
        <w:t xml:space="preserve">u daljnjem tekstu: Plan) </w:t>
      </w:r>
      <w:r w:rsidR="00365652">
        <w:rPr>
          <w:rFonts w:eastAsia="Times New Roman" w:cs="Arial"/>
          <w:szCs w:val="20"/>
          <w:lang w:eastAsia="hr-HR"/>
        </w:rPr>
        <w:t xml:space="preserve">kojeg je izradila </w:t>
      </w:r>
      <w:r w:rsidR="00365652" w:rsidRPr="000E4D66">
        <w:rPr>
          <w:rFonts w:eastAsia="Times New Roman" w:cs="Arial"/>
          <w:szCs w:val="20"/>
          <w:lang w:eastAsia="hr-HR"/>
        </w:rPr>
        <w:t>tvrtka Planium, d.o.o. iz Rijeke</w:t>
      </w:r>
      <w:r w:rsidRPr="000E4D66">
        <w:rPr>
          <w:rFonts w:eastAsia="Times New Roman" w:cs="Arial"/>
          <w:szCs w:val="20"/>
          <w:lang w:eastAsia="hr-HR"/>
        </w:rPr>
        <w:t>.</w:t>
      </w:r>
    </w:p>
    <w:p w14:paraId="5988F8E4" w14:textId="39E12D2B" w:rsidR="000E4D66" w:rsidRPr="000E4D66" w:rsidRDefault="000E4D66" w:rsidP="00EC4BCD">
      <w:pPr>
        <w:numPr>
          <w:ilvl w:val="0"/>
          <w:numId w:val="41"/>
        </w:numPr>
        <w:autoSpaceDE w:val="0"/>
        <w:autoSpaceDN w:val="0"/>
        <w:adjustRightInd w:val="0"/>
        <w:spacing w:after="120" w:line="276" w:lineRule="auto"/>
        <w:contextualSpacing/>
        <w:rPr>
          <w:rFonts w:cs="Arial"/>
          <w:szCs w:val="20"/>
        </w:rPr>
      </w:pPr>
      <w:r w:rsidRPr="000E4D66">
        <w:rPr>
          <w:rFonts w:cs="Arial"/>
          <w:szCs w:val="20"/>
        </w:rPr>
        <w:t xml:space="preserve">Obuhvat Plana </w:t>
      </w:r>
      <w:r w:rsidR="00365652" w:rsidRPr="00EC5EAE">
        <w:rPr>
          <w:rFonts w:eastAsia="Times New Roman" w:cs="Arial"/>
          <w:color w:val="000000"/>
          <w:szCs w:val="20"/>
          <w:lang w:eastAsia="hr-HR"/>
        </w:rPr>
        <w:t>određen je Prostorn</w:t>
      </w:r>
      <w:r w:rsidR="00365652">
        <w:rPr>
          <w:rFonts w:eastAsia="Times New Roman" w:cs="Arial"/>
          <w:color w:val="000000"/>
          <w:szCs w:val="20"/>
          <w:lang w:eastAsia="hr-HR"/>
        </w:rPr>
        <w:t>im</w:t>
      </w:r>
      <w:r w:rsidR="00365652" w:rsidRPr="00EC5EAE">
        <w:rPr>
          <w:rFonts w:eastAsia="Times New Roman" w:cs="Arial"/>
          <w:color w:val="000000"/>
          <w:szCs w:val="20"/>
          <w:lang w:eastAsia="hr-HR"/>
        </w:rPr>
        <w:t xml:space="preserve"> pla</w:t>
      </w:r>
      <w:r w:rsidR="00026DD7">
        <w:rPr>
          <w:rFonts w:eastAsia="Times New Roman" w:cs="Arial"/>
          <w:color w:val="000000"/>
          <w:szCs w:val="20"/>
          <w:lang w:eastAsia="hr-HR"/>
        </w:rPr>
        <w:t>no</w:t>
      </w:r>
      <w:r w:rsidR="00365652">
        <w:rPr>
          <w:rFonts w:eastAsia="Times New Roman" w:cs="Arial"/>
          <w:color w:val="000000"/>
          <w:szCs w:val="20"/>
          <w:lang w:eastAsia="hr-HR"/>
        </w:rPr>
        <w:t>m</w:t>
      </w:r>
      <w:r w:rsidR="00026DD7">
        <w:rPr>
          <w:rFonts w:eastAsia="Times New Roman" w:cs="Arial"/>
          <w:color w:val="000000"/>
          <w:szCs w:val="20"/>
          <w:lang w:eastAsia="hr-HR"/>
        </w:rPr>
        <w:t xml:space="preserve"> </w:t>
      </w:r>
      <w:r w:rsidR="00365652" w:rsidRPr="00EC5EAE">
        <w:rPr>
          <w:rFonts w:eastAsia="Times New Roman" w:cs="Arial"/>
          <w:color w:val="000000"/>
          <w:szCs w:val="20"/>
          <w:lang w:eastAsia="hr-HR"/>
        </w:rPr>
        <w:t>uređenja Općine Jelenje</w:t>
      </w:r>
      <w:r w:rsidR="00365652" w:rsidRPr="000E4D66">
        <w:rPr>
          <w:rFonts w:cs="Arial"/>
          <w:szCs w:val="20"/>
        </w:rPr>
        <w:t xml:space="preserve"> </w:t>
      </w:r>
      <w:r w:rsidR="00365652">
        <w:rPr>
          <w:rFonts w:cs="Arial"/>
          <w:szCs w:val="20"/>
        </w:rPr>
        <w:t xml:space="preserve">i </w:t>
      </w:r>
      <w:r w:rsidRPr="000E4D66">
        <w:rPr>
          <w:rFonts w:cs="Arial"/>
          <w:szCs w:val="20"/>
        </w:rPr>
        <w:t>grafički je prikazan na svim kartografskim prikazima koji su sastavni dio Plana.</w:t>
      </w:r>
    </w:p>
    <w:p w14:paraId="76C1323E" w14:textId="77777777" w:rsidR="000E4D66" w:rsidRPr="000E4D66" w:rsidRDefault="000E4D66" w:rsidP="00EC4BCD">
      <w:pPr>
        <w:autoSpaceDE w:val="0"/>
        <w:autoSpaceDN w:val="0"/>
        <w:adjustRightInd w:val="0"/>
        <w:spacing w:after="120" w:line="276" w:lineRule="auto"/>
        <w:rPr>
          <w:rFonts w:cs="Arial"/>
          <w:color w:val="000000"/>
          <w:szCs w:val="20"/>
        </w:rPr>
      </w:pPr>
    </w:p>
    <w:p w14:paraId="6CB1788B" w14:textId="77777777" w:rsidR="000E4D66" w:rsidRPr="000E4D66" w:rsidRDefault="000E4D66" w:rsidP="00EC4BCD">
      <w:pPr>
        <w:autoSpaceDE w:val="0"/>
        <w:autoSpaceDN w:val="0"/>
        <w:adjustRightInd w:val="0"/>
        <w:spacing w:after="120" w:line="276" w:lineRule="auto"/>
        <w:rPr>
          <w:rFonts w:cs="Arial"/>
          <w:szCs w:val="20"/>
        </w:rPr>
      </w:pPr>
      <w:bookmarkStart w:id="2" w:name="_Hlk162573738"/>
      <w:r w:rsidRPr="000E4D66">
        <w:rPr>
          <w:rFonts w:cs="Arial"/>
          <w:szCs w:val="20"/>
        </w:rPr>
        <w:t xml:space="preserve">Članak 2. </w:t>
      </w:r>
    </w:p>
    <w:p w14:paraId="6F6A6ECB" w14:textId="77777777" w:rsidR="000E4D66" w:rsidRPr="000E4D66" w:rsidRDefault="000E4D66" w:rsidP="00EC4BCD">
      <w:pPr>
        <w:autoSpaceDE w:val="0"/>
        <w:autoSpaceDN w:val="0"/>
        <w:adjustRightInd w:val="0"/>
        <w:spacing w:after="120" w:line="276" w:lineRule="auto"/>
        <w:ind w:left="360"/>
        <w:contextualSpacing/>
        <w:rPr>
          <w:rFonts w:cs="Arial"/>
          <w:szCs w:val="20"/>
        </w:rPr>
      </w:pPr>
      <w:r w:rsidRPr="000E4D66">
        <w:rPr>
          <w:rFonts w:cs="Arial"/>
          <w:szCs w:val="20"/>
        </w:rPr>
        <w:t xml:space="preserve">Prostorni plan iz članka 1. sadržan je u elaboratu koji se sastoji od: </w:t>
      </w:r>
    </w:p>
    <w:bookmarkEnd w:id="2"/>
    <w:p w14:paraId="61295D27"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 xml:space="preserve">KNJIGA I: </w:t>
      </w:r>
    </w:p>
    <w:p w14:paraId="0AE7814E" w14:textId="77777777" w:rsidR="000E4D66" w:rsidRPr="000E4D66" w:rsidRDefault="000E4D66" w:rsidP="00EC4BCD">
      <w:pPr>
        <w:autoSpaceDE w:val="0"/>
        <w:autoSpaceDN w:val="0"/>
        <w:adjustRightInd w:val="0"/>
        <w:spacing w:after="120" w:line="276" w:lineRule="auto"/>
        <w:rPr>
          <w:rFonts w:cs="Arial"/>
          <w:szCs w:val="20"/>
        </w:rPr>
      </w:pPr>
      <w:bookmarkStart w:id="3" w:name="_Hlk169057787"/>
      <w:r w:rsidRPr="000E4D66">
        <w:rPr>
          <w:rFonts w:cs="Arial"/>
          <w:szCs w:val="20"/>
        </w:rPr>
        <w:t>A. ODREDBE ZA PROVOĐENJE</w:t>
      </w:r>
    </w:p>
    <w:p w14:paraId="6E584288" w14:textId="426D6EB1"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B. GRAFI</w:t>
      </w:r>
      <w:r w:rsidR="00365652">
        <w:rPr>
          <w:rFonts w:cs="Arial"/>
          <w:szCs w:val="20"/>
        </w:rPr>
        <w:t>Č</w:t>
      </w:r>
      <w:r w:rsidRPr="000E4D66">
        <w:rPr>
          <w:rFonts w:cs="Arial"/>
          <w:szCs w:val="20"/>
        </w:rPr>
        <w:t xml:space="preserve">KI DIO </w:t>
      </w:r>
    </w:p>
    <w:p w14:paraId="4D60CB17" w14:textId="431BFF59" w:rsidR="00365652" w:rsidRPr="00EC5EAE" w:rsidRDefault="00365652" w:rsidP="00EC4BCD">
      <w:pPr>
        <w:shd w:val="clear" w:color="auto" w:fill="FFFFFF"/>
        <w:spacing w:after="120" w:line="276" w:lineRule="auto"/>
        <w:jc w:val="left"/>
        <w:rPr>
          <w:rFonts w:eastAsia="Times New Roman" w:cs="Arial"/>
          <w:color w:val="000000"/>
          <w:szCs w:val="20"/>
          <w:lang w:eastAsia="hr-HR"/>
        </w:rPr>
      </w:pPr>
      <w:r w:rsidRPr="00EC5EAE">
        <w:rPr>
          <w:rFonts w:eastAsia="Times New Roman" w:cs="Arial"/>
          <w:color w:val="000000"/>
          <w:szCs w:val="20"/>
          <w:lang w:eastAsia="hr-HR"/>
        </w:rPr>
        <w:t xml:space="preserve">1. Detaljna namjena površina </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155C0102" w14:textId="3BEC7841" w:rsidR="00365652" w:rsidRPr="00EC5EAE" w:rsidRDefault="00365652" w:rsidP="00EC4BCD">
      <w:pPr>
        <w:shd w:val="clear" w:color="auto" w:fill="FFFFFF"/>
        <w:spacing w:after="120" w:line="276" w:lineRule="auto"/>
        <w:jc w:val="left"/>
        <w:rPr>
          <w:rFonts w:eastAsia="Times New Roman" w:cs="Arial"/>
          <w:color w:val="000000"/>
          <w:szCs w:val="20"/>
          <w:lang w:eastAsia="hr-HR"/>
        </w:rPr>
      </w:pPr>
      <w:r w:rsidRPr="00EC5EAE">
        <w:rPr>
          <w:rFonts w:eastAsia="Times New Roman" w:cs="Arial"/>
          <w:color w:val="000000"/>
          <w:szCs w:val="20"/>
          <w:lang w:eastAsia="hr-HR"/>
        </w:rPr>
        <w:t>2. Prometna, telekomunikacijska</w:t>
      </w:r>
      <w:r>
        <w:rPr>
          <w:rFonts w:eastAsia="Times New Roman" w:cs="Arial"/>
          <w:color w:val="000000"/>
          <w:szCs w:val="20"/>
          <w:lang w:eastAsia="hr-HR"/>
        </w:rPr>
        <w:t xml:space="preserve"> </w:t>
      </w:r>
      <w:r w:rsidRPr="00EC5EAE">
        <w:rPr>
          <w:rFonts w:eastAsia="Times New Roman" w:cs="Arial"/>
          <w:color w:val="000000"/>
          <w:szCs w:val="20"/>
          <w:lang w:eastAsia="hr-HR"/>
        </w:rPr>
        <w:t>i komunalna infrastrukturna</w:t>
      </w:r>
      <w:r>
        <w:rPr>
          <w:rFonts w:eastAsia="Times New Roman" w:cs="Arial"/>
          <w:color w:val="000000"/>
          <w:szCs w:val="20"/>
          <w:lang w:eastAsia="hr-HR"/>
        </w:rPr>
        <w:t xml:space="preserve"> </w:t>
      </w:r>
      <w:r w:rsidRPr="00EC5EAE">
        <w:rPr>
          <w:rFonts w:eastAsia="Times New Roman" w:cs="Arial"/>
          <w:color w:val="000000"/>
          <w:szCs w:val="20"/>
          <w:lang w:eastAsia="hr-HR"/>
        </w:rPr>
        <w:t>mreža</w:t>
      </w:r>
    </w:p>
    <w:p w14:paraId="059F606E" w14:textId="799CC4CD" w:rsidR="00365652" w:rsidRPr="00EC5EAE" w:rsidRDefault="00365652" w:rsidP="00EC4BCD">
      <w:pPr>
        <w:shd w:val="clear" w:color="auto" w:fill="FFFFFF"/>
        <w:spacing w:after="120" w:line="276" w:lineRule="auto"/>
        <w:ind w:left="708"/>
        <w:jc w:val="left"/>
        <w:rPr>
          <w:rFonts w:eastAsia="Times New Roman" w:cs="Arial"/>
          <w:color w:val="000000"/>
          <w:szCs w:val="20"/>
          <w:lang w:eastAsia="hr-HR"/>
        </w:rPr>
      </w:pPr>
      <w:r w:rsidRPr="00EC5EAE">
        <w:rPr>
          <w:rFonts w:eastAsia="Times New Roman" w:cs="Arial"/>
          <w:color w:val="000000"/>
          <w:szCs w:val="20"/>
          <w:lang w:eastAsia="hr-HR"/>
        </w:rPr>
        <w:t>2.1. Prometna mreža i</w:t>
      </w:r>
      <w:r>
        <w:rPr>
          <w:rFonts w:eastAsia="Times New Roman" w:cs="Arial"/>
          <w:color w:val="000000"/>
          <w:szCs w:val="20"/>
          <w:lang w:eastAsia="hr-HR"/>
        </w:rPr>
        <w:t xml:space="preserve"> </w:t>
      </w:r>
      <w:r w:rsidRPr="00EC5EAE">
        <w:rPr>
          <w:rFonts w:eastAsia="Times New Roman" w:cs="Arial"/>
          <w:color w:val="000000"/>
          <w:szCs w:val="20"/>
          <w:lang w:eastAsia="hr-HR"/>
        </w:rPr>
        <w:t>telekomunikacije</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4E430000" w14:textId="28CB91A8" w:rsidR="00365652" w:rsidRPr="00EC5EAE" w:rsidRDefault="00365652" w:rsidP="00EC4BCD">
      <w:pPr>
        <w:shd w:val="clear" w:color="auto" w:fill="FFFFFF"/>
        <w:spacing w:after="120" w:line="276" w:lineRule="auto"/>
        <w:ind w:left="708"/>
        <w:jc w:val="left"/>
        <w:rPr>
          <w:rFonts w:eastAsia="Times New Roman" w:cs="Arial"/>
          <w:color w:val="000000"/>
          <w:szCs w:val="20"/>
          <w:lang w:eastAsia="hr-HR"/>
        </w:rPr>
      </w:pPr>
      <w:r w:rsidRPr="00EC5EAE">
        <w:rPr>
          <w:rFonts w:eastAsia="Times New Roman" w:cs="Arial"/>
          <w:color w:val="000000"/>
          <w:szCs w:val="20"/>
          <w:lang w:eastAsia="hr-HR"/>
        </w:rPr>
        <w:t xml:space="preserve">2.2. Elektroopskrbna mreža </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7B63E7FF" w14:textId="12533A00" w:rsidR="00365652" w:rsidRPr="00EC5EAE" w:rsidRDefault="00365652" w:rsidP="00EC4BCD">
      <w:pPr>
        <w:shd w:val="clear" w:color="auto" w:fill="FFFFFF"/>
        <w:spacing w:after="120" w:line="276" w:lineRule="auto"/>
        <w:ind w:left="708"/>
        <w:jc w:val="left"/>
        <w:rPr>
          <w:rFonts w:eastAsia="Times New Roman" w:cs="Arial"/>
          <w:color w:val="000000"/>
          <w:szCs w:val="20"/>
          <w:lang w:eastAsia="hr-HR"/>
        </w:rPr>
      </w:pPr>
      <w:r w:rsidRPr="00EC5EAE">
        <w:rPr>
          <w:rFonts w:eastAsia="Times New Roman" w:cs="Arial"/>
          <w:color w:val="000000"/>
          <w:szCs w:val="20"/>
          <w:lang w:eastAsia="hr-HR"/>
        </w:rPr>
        <w:t>2.3. Vodoopskrba i odvodnja</w:t>
      </w:r>
      <w:r>
        <w:rPr>
          <w:rFonts w:eastAsia="Times New Roman" w:cs="Arial"/>
          <w:color w:val="000000"/>
          <w:szCs w:val="20"/>
          <w:lang w:eastAsia="hr-HR"/>
        </w:rPr>
        <w:t xml:space="preserve"> </w:t>
      </w:r>
      <w:r w:rsidRPr="00EC5EAE">
        <w:rPr>
          <w:rFonts w:eastAsia="Times New Roman" w:cs="Arial"/>
          <w:color w:val="000000"/>
          <w:szCs w:val="20"/>
          <w:lang w:eastAsia="hr-HR"/>
        </w:rPr>
        <w:t xml:space="preserve">otpadnih voda </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42C82656" w14:textId="706B863A" w:rsidR="00365652" w:rsidRPr="00EC5EAE" w:rsidRDefault="00365652" w:rsidP="00EC4BCD">
      <w:pPr>
        <w:shd w:val="clear" w:color="auto" w:fill="FFFFFF"/>
        <w:spacing w:after="120" w:line="276" w:lineRule="auto"/>
        <w:jc w:val="left"/>
        <w:rPr>
          <w:rFonts w:eastAsia="Times New Roman" w:cs="Arial"/>
          <w:color w:val="000000"/>
          <w:szCs w:val="20"/>
          <w:lang w:eastAsia="hr-HR"/>
        </w:rPr>
      </w:pPr>
      <w:r w:rsidRPr="00EC5EAE">
        <w:rPr>
          <w:rFonts w:eastAsia="Times New Roman" w:cs="Arial"/>
          <w:color w:val="000000"/>
          <w:szCs w:val="20"/>
          <w:lang w:eastAsia="hr-HR"/>
        </w:rPr>
        <w:t>3. Uvjeti korištenja, uređenja i</w:t>
      </w:r>
      <w:r>
        <w:rPr>
          <w:rFonts w:eastAsia="Times New Roman" w:cs="Arial"/>
          <w:color w:val="000000"/>
          <w:szCs w:val="20"/>
          <w:lang w:eastAsia="hr-HR"/>
        </w:rPr>
        <w:t xml:space="preserve"> </w:t>
      </w:r>
      <w:r w:rsidRPr="00EC5EAE">
        <w:rPr>
          <w:rFonts w:eastAsia="Times New Roman" w:cs="Arial"/>
          <w:color w:val="000000"/>
          <w:szCs w:val="20"/>
          <w:lang w:eastAsia="hr-HR"/>
        </w:rPr>
        <w:t xml:space="preserve">zaštite površina </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13737F19" w14:textId="08873D50" w:rsidR="00365652" w:rsidRPr="00EC5EAE" w:rsidRDefault="00365652" w:rsidP="00EC4BCD">
      <w:pPr>
        <w:shd w:val="clear" w:color="auto" w:fill="FFFFFF"/>
        <w:spacing w:after="120" w:line="276" w:lineRule="auto"/>
        <w:jc w:val="left"/>
        <w:rPr>
          <w:rFonts w:eastAsia="Times New Roman" w:cs="Arial"/>
          <w:color w:val="000000"/>
          <w:szCs w:val="20"/>
          <w:lang w:eastAsia="hr-HR"/>
        </w:rPr>
      </w:pPr>
      <w:r w:rsidRPr="00EC5EAE">
        <w:rPr>
          <w:rFonts w:eastAsia="Times New Roman" w:cs="Arial"/>
          <w:color w:val="000000"/>
          <w:szCs w:val="20"/>
          <w:lang w:eastAsia="hr-HR"/>
        </w:rPr>
        <w:t xml:space="preserve">4. Uvjeti gradnje </w:t>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Pr>
          <w:rFonts w:eastAsia="Times New Roman" w:cs="Arial"/>
          <w:color w:val="000000"/>
          <w:szCs w:val="20"/>
          <w:lang w:eastAsia="hr-HR"/>
        </w:rPr>
        <w:tab/>
      </w:r>
      <w:r w:rsidRPr="00EC5EAE">
        <w:rPr>
          <w:rFonts w:eastAsia="Times New Roman" w:cs="Arial"/>
          <w:color w:val="000000"/>
          <w:szCs w:val="20"/>
          <w:lang w:eastAsia="hr-HR"/>
        </w:rPr>
        <w:t>1:1000</w:t>
      </w:r>
    </w:p>
    <w:p w14:paraId="61FC7A9B" w14:textId="77777777" w:rsidR="000E4D66" w:rsidRPr="000E4D66" w:rsidRDefault="000E4D66" w:rsidP="00EC4BCD">
      <w:pPr>
        <w:autoSpaceDE w:val="0"/>
        <w:autoSpaceDN w:val="0"/>
        <w:adjustRightInd w:val="0"/>
        <w:spacing w:after="120" w:line="276" w:lineRule="auto"/>
        <w:rPr>
          <w:rFonts w:cs="Arial"/>
          <w:szCs w:val="20"/>
        </w:rPr>
      </w:pPr>
    </w:p>
    <w:p w14:paraId="2DF86CBE"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 xml:space="preserve">KNJIGA II: </w:t>
      </w:r>
    </w:p>
    <w:p w14:paraId="2E708619"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I - Obrazloženje</w:t>
      </w:r>
    </w:p>
    <w:p w14:paraId="2DD53517"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II - Mišljenja iz čl. 90., 101., 107. Zakona o prostornom uređenju (NN 153/13, 65/17, 114/18, 39/19, 98/19)</w:t>
      </w:r>
    </w:p>
    <w:p w14:paraId="67627C2F"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III – Izvješće o javnoj raspravi</w:t>
      </w:r>
    </w:p>
    <w:p w14:paraId="48430631" w14:textId="77777777" w:rsidR="000E4D66" w:rsidRPr="000E4D66" w:rsidRDefault="000E4D66" w:rsidP="00EC4BCD">
      <w:pPr>
        <w:autoSpaceDE w:val="0"/>
        <w:autoSpaceDN w:val="0"/>
        <w:adjustRightInd w:val="0"/>
        <w:spacing w:after="120" w:line="276" w:lineRule="auto"/>
        <w:rPr>
          <w:rFonts w:cs="Arial"/>
          <w:szCs w:val="20"/>
        </w:rPr>
      </w:pPr>
      <w:r w:rsidRPr="000E4D66">
        <w:rPr>
          <w:rFonts w:cs="Arial"/>
          <w:szCs w:val="20"/>
        </w:rPr>
        <w:t>IV – Sažetak za javnost</w:t>
      </w:r>
    </w:p>
    <w:bookmarkEnd w:id="3"/>
    <w:p w14:paraId="4E516DF3" w14:textId="77777777" w:rsidR="000E4D66" w:rsidRPr="000E4D66" w:rsidRDefault="000E4D66" w:rsidP="00EC4BCD">
      <w:pPr>
        <w:widowControl w:val="0"/>
        <w:tabs>
          <w:tab w:val="left" w:pos="397"/>
        </w:tabs>
        <w:suppressAutoHyphens/>
        <w:overflowPunct w:val="0"/>
        <w:autoSpaceDE w:val="0"/>
        <w:spacing w:after="120" w:line="276" w:lineRule="auto"/>
        <w:textAlignment w:val="baseline"/>
        <w:rPr>
          <w:rFonts w:eastAsia="Times New Roman" w:cs="Arial"/>
          <w:bCs/>
          <w:szCs w:val="20"/>
          <w:lang w:eastAsia="hr-HR"/>
        </w:rPr>
      </w:pPr>
    </w:p>
    <w:p w14:paraId="135BD026" w14:textId="489E761D" w:rsidR="00972DBC" w:rsidRPr="004A2E62" w:rsidRDefault="00972DBC" w:rsidP="00EC4BCD">
      <w:pPr>
        <w:shd w:val="clear" w:color="auto" w:fill="FFFFFF"/>
        <w:spacing w:after="120" w:line="276" w:lineRule="auto"/>
        <w:rPr>
          <w:rFonts w:eastAsia="Times New Roman" w:cs="Arial"/>
          <w:b/>
          <w:bCs/>
          <w:color w:val="000000"/>
          <w:sz w:val="22"/>
          <w:lang w:eastAsia="hr-HR"/>
        </w:rPr>
      </w:pPr>
      <w:r w:rsidRPr="004A2E62">
        <w:rPr>
          <w:rFonts w:eastAsia="Times New Roman" w:cs="Arial"/>
          <w:b/>
          <w:bCs/>
          <w:color w:val="000000"/>
          <w:sz w:val="22"/>
          <w:lang w:eastAsia="hr-HR"/>
        </w:rPr>
        <w:lastRenderedPageBreak/>
        <w:t>II. ODREDBE ZA PROVOĐENJE</w:t>
      </w:r>
    </w:p>
    <w:p w14:paraId="444D0790" w14:textId="77777777" w:rsidR="00972DBC" w:rsidRDefault="00972DBC" w:rsidP="00EC4BCD">
      <w:pPr>
        <w:shd w:val="clear" w:color="auto" w:fill="FFFFFF"/>
        <w:spacing w:after="120" w:line="276" w:lineRule="auto"/>
        <w:rPr>
          <w:rFonts w:eastAsia="Times New Roman" w:cs="Arial"/>
          <w:color w:val="000000"/>
          <w:szCs w:val="20"/>
          <w:lang w:eastAsia="hr-HR"/>
        </w:rPr>
      </w:pPr>
    </w:p>
    <w:p w14:paraId="08C7E340" w14:textId="77777777" w:rsidR="00B41B48" w:rsidRPr="00DB3EE3" w:rsidRDefault="00B41B48" w:rsidP="00EC4BCD">
      <w:pPr>
        <w:spacing w:after="120" w:line="276" w:lineRule="auto"/>
        <w:rPr>
          <w:szCs w:val="20"/>
        </w:rPr>
      </w:pPr>
      <w:r w:rsidRPr="00DB3EE3">
        <w:rPr>
          <w:szCs w:val="20"/>
        </w:rPr>
        <w:t>Članak 3.</w:t>
      </w:r>
    </w:p>
    <w:p w14:paraId="5631915C" w14:textId="00D4B657"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7. mijenja se i glasi:</w:t>
      </w:r>
    </w:p>
    <w:p w14:paraId="5928BF70" w14:textId="54DE16A5"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(1) </w:t>
      </w:r>
      <w:r w:rsidR="00972DBC" w:rsidRPr="00DB3EE3">
        <w:rPr>
          <w:rFonts w:eastAsia="Times New Roman" w:cs="Arial"/>
          <w:szCs w:val="20"/>
          <w:lang w:eastAsia="hr-HR"/>
        </w:rPr>
        <w:t>U obuhvatu Plana definiraju se sljedeće namjene:</w:t>
      </w:r>
    </w:p>
    <w:p w14:paraId="0B451DA8" w14:textId="403B3752" w:rsidR="00972DBC" w:rsidRPr="00DB3EE3" w:rsidRDefault="00972DBC" w:rsidP="00EC4BCD">
      <w:pPr>
        <w:pStyle w:val="Odlomakpopisa"/>
        <w:numPr>
          <w:ilvl w:val="0"/>
          <w:numId w:val="9"/>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Poslovna namjena (K), unutar koje se detaljnije diferencira slijedeć</w:t>
      </w:r>
      <w:r w:rsidR="005F1B6C" w:rsidRPr="00DB3EE3">
        <w:rPr>
          <w:rFonts w:eastAsia="Times New Roman" w:cs="Arial"/>
          <w:szCs w:val="20"/>
          <w:lang w:eastAsia="hr-HR"/>
        </w:rPr>
        <w:t>u</w:t>
      </w:r>
      <w:r w:rsidRPr="00DB3EE3">
        <w:rPr>
          <w:rFonts w:eastAsia="Times New Roman" w:cs="Arial"/>
          <w:szCs w:val="20"/>
          <w:lang w:eastAsia="hr-HR"/>
        </w:rPr>
        <w:t xml:space="preserve"> namjen</w:t>
      </w:r>
      <w:r w:rsidR="005F1B6C" w:rsidRPr="00DB3EE3">
        <w:rPr>
          <w:rFonts w:eastAsia="Times New Roman" w:cs="Arial"/>
          <w:szCs w:val="20"/>
          <w:lang w:eastAsia="hr-HR"/>
        </w:rPr>
        <w:t>u</w:t>
      </w:r>
      <w:r w:rsidRPr="00DB3EE3">
        <w:rPr>
          <w:rFonts w:eastAsia="Times New Roman" w:cs="Arial"/>
          <w:szCs w:val="20"/>
          <w:lang w:eastAsia="hr-HR"/>
        </w:rPr>
        <w:t>:</w:t>
      </w:r>
    </w:p>
    <w:p w14:paraId="758F7412" w14:textId="3AC619FC" w:rsidR="00972DBC" w:rsidRPr="00DB3EE3" w:rsidRDefault="00972DBC" w:rsidP="00EC4BCD">
      <w:pPr>
        <w:pStyle w:val="Odlomakpopisa"/>
        <w:numPr>
          <w:ilvl w:val="0"/>
          <w:numId w:val="8"/>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Uslužno-trgovačka zona - K1 (građevne čestice 1 2</w:t>
      </w:r>
      <w:r w:rsidR="000F3987" w:rsidRPr="00DB3EE3">
        <w:rPr>
          <w:rFonts w:eastAsia="Times New Roman" w:cs="Arial"/>
          <w:szCs w:val="20"/>
          <w:lang w:eastAsia="hr-HR"/>
        </w:rPr>
        <w:t>, 3</w:t>
      </w:r>
      <w:r w:rsidR="005F1B6C" w:rsidRPr="00DB3EE3">
        <w:rPr>
          <w:rFonts w:eastAsia="Times New Roman" w:cs="Arial"/>
          <w:szCs w:val="20"/>
          <w:lang w:eastAsia="hr-HR"/>
        </w:rPr>
        <w:t>, 4</w:t>
      </w:r>
      <w:r w:rsidRPr="00DB3EE3">
        <w:rPr>
          <w:rFonts w:eastAsia="Times New Roman" w:cs="Arial"/>
          <w:szCs w:val="20"/>
          <w:lang w:eastAsia="hr-HR"/>
        </w:rPr>
        <w:t xml:space="preserve">) namijenjena je organizaciji manjih i srednjih kapaciteta proizvodnih, zanatskih, poslovnih, skladišnih, </w:t>
      </w:r>
      <w:r w:rsidR="006C48F2" w:rsidRPr="00DB3EE3">
        <w:rPr>
          <w:rFonts w:eastAsia="Times New Roman" w:cs="Arial"/>
          <w:szCs w:val="20"/>
          <w:lang w:eastAsia="hr-HR"/>
        </w:rPr>
        <w:t xml:space="preserve">trgovačkih, </w:t>
      </w:r>
      <w:r w:rsidRPr="00DB3EE3">
        <w:rPr>
          <w:rFonts w:eastAsia="Times New Roman" w:cs="Arial"/>
          <w:szCs w:val="20"/>
          <w:lang w:eastAsia="hr-HR"/>
        </w:rPr>
        <w:t xml:space="preserve">servisnih i </w:t>
      </w:r>
      <w:r w:rsidR="006C48F2" w:rsidRPr="00DB3EE3">
        <w:rPr>
          <w:rFonts w:eastAsia="Times New Roman" w:cs="Arial"/>
          <w:szCs w:val="20"/>
          <w:lang w:eastAsia="hr-HR"/>
        </w:rPr>
        <w:t xml:space="preserve">ugostiteljskih i </w:t>
      </w:r>
      <w:r w:rsidRPr="00DB3EE3">
        <w:rPr>
          <w:rFonts w:eastAsia="Times New Roman" w:cs="Arial"/>
          <w:szCs w:val="20"/>
          <w:lang w:eastAsia="hr-HR"/>
        </w:rPr>
        <w:t>zabavno rekreativnih sadržaja</w:t>
      </w:r>
      <w:r w:rsidR="006C48F2" w:rsidRPr="00DB3EE3">
        <w:rPr>
          <w:rFonts w:eastAsia="Times New Roman" w:cs="Arial"/>
          <w:szCs w:val="20"/>
          <w:lang w:eastAsia="hr-HR"/>
        </w:rPr>
        <w:t xml:space="preserve"> namjenjenih korisnicima zone</w:t>
      </w:r>
      <w:r w:rsidRPr="00DB3EE3">
        <w:rPr>
          <w:rFonts w:eastAsia="Times New Roman" w:cs="Arial"/>
          <w:szCs w:val="20"/>
          <w:lang w:eastAsia="hr-HR"/>
        </w:rPr>
        <w:t>. Neizgrađeni dijelovi namjenjuju se uređenju prometnih i zelenih površina.</w:t>
      </w:r>
    </w:p>
    <w:p w14:paraId="0319B09B" w14:textId="4231302C" w:rsidR="00972DBC" w:rsidRPr="00DB3EE3" w:rsidRDefault="00842873" w:rsidP="00EC4BCD">
      <w:pPr>
        <w:pStyle w:val="Odlomakpopisa"/>
        <w:numPr>
          <w:ilvl w:val="0"/>
          <w:numId w:val="9"/>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Javna zelena površina </w:t>
      </w:r>
      <w:r w:rsidR="00B50BA9" w:rsidRPr="00DB3EE3">
        <w:rPr>
          <w:rFonts w:eastAsia="Times New Roman" w:cs="Arial"/>
          <w:szCs w:val="20"/>
          <w:lang w:eastAsia="hr-HR"/>
        </w:rPr>
        <w:t xml:space="preserve">(građevna čestica 5) namjenjena je ozelenjavanju površine. Do izgradnje javnog sustava odvodnje ovu površinu moguće je koristiti za smještaj privremenih </w:t>
      </w:r>
      <w:r w:rsidR="00972DBC" w:rsidRPr="00DB3EE3">
        <w:rPr>
          <w:rFonts w:eastAsia="Times New Roman" w:cs="Arial"/>
          <w:szCs w:val="20"/>
          <w:lang w:eastAsia="hr-HR"/>
        </w:rPr>
        <w:t>uređaja za pročišćavanje fekalne kanalizacije i upojnog bunara</w:t>
      </w:r>
      <w:r w:rsidR="00B50BA9" w:rsidRPr="00DB3EE3">
        <w:rPr>
          <w:rFonts w:eastAsia="Times New Roman" w:cs="Arial"/>
          <w:szCs w:val="20"/>
          <w:lang w:eastAsia="hr-HR"/>
        </w:rPr>
        <w:t xml:space="preserve">, a sukladno mjerama zaštite Odluke </w:t>
      </w:r>
      <w:r w:rsidR="00B50BA9" w:rsidRPr="00DB3EE3">
        <w:rPr>
          <w:szCs w:val="20"/>
        </w:rPr>
        <w:t>o zaštiti izvorišta vode za piće u slivu izvora u Gradu Rijeci i slivu izvora u Bakarskom zaljevu</w:t>
      </w:r>
      <w:r w:rsidR="00972DBC" w:rsidRPr="00DB3EE3">
        <w:rPr>
          <w:rFonts w:eastAsia="Times New Roman" w:cs="Arial"/>
          <w:szCs w:val="20"/>
          <w:lang w:eastAsia="hr-HR"/>
        </w:rPr>
        <w:t>. Nakon priključenja poslovne zone na javni sustav kanalizacije, uređaji se demontiraju, a teren uređuje kao zelena površina.</w:t>
      </w:r>
    </w:p>
    <w:p w14:paraId="0B98E79A" w14:textId="6D318238" w:rsidR="00972DBC" w:rsidRPr="00DB3EE3" w:rsidRDefault="00972DBC" w:rsidP="00EC4BCD">
      <w:pPr>
        <w:pStyle w:val="Odlomakpopisa"/>
        <w:numPr>
          <w:ilvl w:val="0"/>
          <w:numId w:val="9"/>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Površina ostalih komunalnih sustava namijenjena gradnji planiran</w:t>
      </w:r>
      <w:r w:rsidR="000F3987" w:rsidRPr="00DB3EE3">
        <w:rPr>
          <w:rFonts w:eastAsia="Times New Roman" w:cs="Arial"/>
          <w:szCs w:val="20"/>
          <w:lang w:eastAsia="hr-HR"/>
        </w:rPr>
        <w:t>ih</w:t>
      </w:r>
      <w:r w:rsidRPr="00DB3EE3">
        <w:rPr>
          <w:rFonts w:eastAsia="Times New Roman" w:cs="Arial"/>
          <w:szCs w:val="20"/>
          <w:lang w:eastAsia="hr-HR"/>
        </w:rPr>
        <w:t xml:space="preserve"> trafostanic</w:t>
      </w:r>
      <w:r w:rsidR="000F3987" w:rsidRPr="00DB3EE3">
        <w:rPr>
          <w:rFonts w:eastAsia="Times New Roman" w:cs="Arial"/>
          <w:szCs w:val="20"/>
          <w:lang w:eastAsia="hr-HR"/>
        </w:rPr>
        <w:t>a</w:t>
      </w:r>
      <w:r w:rsidRPr="00DB3EE3">
        <w:rPr>
          <w:rFonts w:eastAsia="Times New Roman" w:cs="Arial"/>
          <w:szCs w:val="20"/>
          <w:lang w:eastAsia="hr-HR"/>
        </w:rPr>
        <w:t xml:space="preserve"> za potrebe sadržaja u obuhvatu Plana. Planiran</w:t>
      </w:r>
      <w:r w:rsidR="000F3987" w:rsidRPr="00DB3EE3">
        <w:rPr>
          <w:rFonts w:eastAsia="Times New Roman" w:cs="Arial"/>
          <w:szCs w:val="20"/>
          <w:lang w:eastAsia="hr-HR"/>
        </w:rPr>
        <w:t>e</w:t>
      </w:r>
      <w:r w:rsidRPr="00DB3EE3">
        <w:rPr>
          <w:rFonts w:eastAsia="Times New Roman" w:cs="Arial"/>
          <w:szCs w:val="20"/>
          <w:lang w:eastAsia="hr-HR"/>
        </w:rPr>
        <w:t xml:space="preserve"> </w:t>
      </w:r>
      <w:r w:rsidR="000F3987" w:rsidRPr="00DB3EE3">
        <w:rPr>
          <w:rFonts w:eastAsia="Times New Roman" w:cs="Arial"/>
          <w:szCs w:val="20"/>
          <w:lang w:eastAsia="hr-HR"/>
        </w:rPr>
        <w:t xml:space="preserve">su dvije </w:t>
      </w:r>
      <w:r w:rsidRPr="00DB3EE3">
        <w:rPr>
          <w:rFonts w:eastAsia="Times New Roman" w:cs="Arial"/>
          <w:szCs w:val="20"/>
          <w:lang w:eastAsia="hr-HR"/>
        </w:rPr>
        <w:t>trafostanic</w:t>
      </w:r>
      <w:r w:rsidR="000F3987" w:rsidRPr="00DB3EE3">
        <w:rPr>
          <w:rFonts w:eastAsia="Times New Roman" w:cs="Arial"/>
          <w:szCs w:val="20"/>
          <w:lang w:eastAsia="hr-HR"/>
        </w:rPr>
        <w:t>e</w:t>
      </w:r>
      <w:r w:rsidRPr="00DB3EE3">
        <w:rPr>
          <w:rFonts w:eastAsia="Times New Roman" w:cs="Arial"/>
          <w:szCs w:val="20"/>
          <w:lang w:eastAsia="hr-HR"/>
        </w:rPr>
        <w:t xml:space="preserve"> na posebn</w:t>
      </w:r>
      <w:r w:rsidR="000F3987" w:rsidRPr="00DB3EE3">
        <w:rPr>
          <w:rFonts w:eastAsia="Times New Roman" w:cs="Arial"/>
          <w:szCs w:val="20"/>
          <w:lang w:eastAsia="hr-HR"/>
        </w:rPr>
        <w:t>im</w:t>
      </w:r>
      <w:r w:rsidRPr="00DB3EE3">
        <w:rPr>
          <w:rFonts w:eastAsia="Times New Roman" w:cs="Arial"/>
          <w:szCs w:val="20"/>
          <w:lang w:eastAsia="hr-HR"/>
        </w:rPr>
        <w:t xml:space="preserve"> građevn</w:t>
      </w:r>
      <w:r w:rsidR="000F3987" w:rsidRPr="00DB3EE3">
        <w:rPr>
          <w:rFonts w:eastAsia="Times New Roman" w:cs="Arial"/>
          <w:szCs w:val="20"/>
          <w:lang w:eastAsia="hr-HR"/>
        </w:rPr>
        <w:t>im</w:t>
      </w:r>
      <w:r w:rsidRPr="00DB3EE3">
        <w:rPr>
          <w:rFonts w:eastAsia="Times New Roman" w:cs="Arial"/>
          <w:szCs w:val="20"/>
          <w:lang w:eastAsia="hr-HR"/>
        </w:rPr>
        <w:t xml:space="preserve"> čestic</w:t>
      </w:r>
      <w:r w:rsidR="000F3987" w:rsidRPr="00DB3EE3">
        <w:rPr>
          <w:rFonts w:eastAsia="Times New Roman" w:cs="Arial"/>
          <w:szCs w:val="20"/>
          <w:lang w:eastAsia="hr-HR"/>
        </w:rPr>
        <w:t>ama</w:t>
      </w:r>
      <w:r w:rsidRPr="00DB3EE3">
        <w:rPr>
          <w:rFonts w:eastAsia="Times New Roman" w:cs="Arial"/>
          <w:szCs w:val="20"/>
          <w:lang w:eastAsia="hr-HR"/>
        </w:rPr>
        <w:t xml:space="preserve"> </w:t>
      </w:r>
      <w:r w:rsidR="000F3987" w:rsidRPr="00DB3EE3">
        <w:rPr>
          <w:rFonts w:eastAsia="Times New Roman" w:cs="Arial"/>
          <w:szCs w:val="20"/>
          <w:lang w:eastAsia="hr-HR"/>
        </w:rPr>
        <w:t xml:space="preserve">(građ. čestice 6 i 7) </w:t>
      </w:r>
      <w:r w:rsidRPr="00DB3EE3">
        <w:rPr>
          <w:rFonts w:eastAsia="Times New Roman" w:cs="Arial"/>
          <w:szCs w:val="20"/>
          <w:lang w:eastAsia="hr-HR"/>
        </w:rPr>
        <w:t>i ostale prema potrebi unutar samih objekata.</w:t>
      </w:r>
    </w:p>
    <w:p w14:paraId="03F9C8C2" w14:textId="51A49E6F"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2760B8" w:rsidRPr="00DB3EE3">
        <w:rPr>
          <w:rFonts w:eastAsia="Times New Roman" w:cs="Arial"/>
          <w:szCs w:val="20"/>
          <w:lang w:eastAsia="hr-HR"/>
        </w:rPr>
        <w:t xml:space="preserve">Prema </w:t>
      </w:r>
      <w:bookmarkStart w:id="4" w:name="_Hlk180496035"/>
      <w:r w:rsidR="002760B8" w:rsidRPr="00DB3EE3">
        <w:rPr>
          <w:rFonts w:eastAsia="Times New Roman" w:cs="Arial"/>
          <w:szCs w:val="20"/>
          <w:lang w:eastAsia="hr-HR"/>
        </w:rPr>
        <w:t xml:space="preserve">Odluci </w:t>
      </w:r>
      <w:r w:rsidR="002760B8" w:rsidRPr="00DB3EE3">
        <w:rPr>
          <w:szCs w:val="20"/>
        </w:rPr>
        <w:t xml:space="preserve">o zaštiti izvorišta vode za piće u slivu izvora u Gradu Rijeci i slivu izvora u Bakarskom zaljevu </w:t>
      </w:r>
      <w:bookmarkEnd w:id="4"/>
      <w:r w:rsidR="002760B8" w:rsidRPr="00DB3EE3">
        <w:rPr>
          <w:szCs w:val="20"/>
        </w:rPr>
        <w:t>ne dozvoljava se izgradnja slijedećih građevina u ovisnosti o predviđenoj namjeni:</w:t>
      </w:r>
    </w:p>
    <w:p w14:paraId="1BB08AD1" w14:textId="57EA7598" w:rsidR="004D4DA5" w:rsidRPr="00DB3EE3" w:rsidRDefault="004D4DA5"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poljoprivredna proizvodnja, osim ekološke proizvodnje, uz primjenu dozvoljenih gnojiva i sredstava za zaštitu bilja prema važećem Zakonu o ekološkoj proizvodnji i označavanju ekoloških proizvoda,</w:t>
      </w:r>
    </w:p>
    <w:p w14:paraId="329CBA0C" w14:textId="77777777" w:rsidR="004D4DA5" w:rsidRPr="00DB3EE3" w:rsidRDefault="004D4DA5"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stočarska proizvodnja, osim za potrebe poljoprivrednog gospodarstva odnosno farmi do 20 uvjetnih grla uz provedbu mjera zaštite voda propisanih Akcijskim programom zaštite voda od onečišćenja uzrokovanog nitratima poljoprivrednog podrijetla i načela dobre poljoprivredne prakse,</w:t>
      </w:r>
    </w:p>
    <w:p w14:paraId="19F199E5" w14:textId="249CE8D3"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građenje svih industrijskih postrojenja,</w:t>
      </w:r>
    </w:p>
    <w:p w14:paraId="64A9B34A" w14:textId="620124AD"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građenje benzinskih stanica i svih spremnika tekućeg goriva za pogon i grijanje,</w:t>
      </w:r>
    </w:p>
    <w:p w14:paraId="5D501A90" w14:textId="60E8E4A7"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građenje trafostanica s uljnim transformatorom, osim ako zbog snage trafostanice nije moguće koristiti suhi transformator,</w:t>
      </w:r>
    </w:p>
    <w:p w14:paraId="6517E9BE" w14:textId="6198B268"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građenje drugih građevina koje mogu ugroziti kakvoću podzemne vode,</w:t>
      </w:r>
    </w:p>
    <w:p w14:paraId="616EF949" w14:textId="3A013485"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eksploatacija zemlje, pijeska, šljunka, kamena i drugih mineralnih sirovina,</w:t>
      </w:r>
    </w:p>
    <w:p w14:paraId="29893419" w14:textId="172D2879" w:rsidR="002760B8" w:rsidRPr="00DB3EE3" w:rsidRDefault="002760B8" w:rsidP="00EC4BCD">
      <w:pPr>
        <w:pStyle w:val="Odlomakpopisa"/>
        <w:numPr>
          <w:ilvl w:val="0"/>
          <w:numId w:val="40"/>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građenje reciklažnih dvorišta i pretovarnih stanica za otpad</w:t>
      </w:r>
      <w:r w:rsidR="004D4DA5" w:rsidRPr="00DB3EE3">
        <w:rPr>
          <w:sz w:val="27"/>
          <w:szCs w:val="27"/>
        </w:rPr>
        <w:t xml:space="preserve"> </w:t>
      </w:r>
      <w:r w:rsidR="004D4DA5" w:rsidRPr="00DB3EE3">
        <w:rPr>
          <w:szCs w:val="20"/>
        </w:rPr>
        <w:t>ako nije planirana provedba mjera zaštite voda.</w:t>
      </w:r>
    </w:p>
    <w:p w14:paraId="33098A40" w14:textId="77777777" w:rsidR="00972DBC" w:rsidRPr="00DB3EE3" w:rsidRDefault="00972DBC" w:rsidP="00EC4BCD">
      <w:pPr>
        <w:shd w:val="clear" w:color="auto" w:fill="FFFFFF"/>
        <w:spacing w:after="120" w:line="276" w:lineRule="auto"/>
        <w:rPr>
          <w:rFonts w:eastAsia="Times New Roman" w:cs="Arial"/>
          <w:szCs w:val="20"/>
          <w:lang w:eastAsia="hr-HR"/>
        </w:rPr>
      </w:pPr>
    </w:p>
    <w:p w14:paraId="64E8DA91" w14:textId="2D6A03BA" w:rsidR="00B41B48"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4.</w:t>
      </w:r>
    </w:p>
    <w:p w14:paraId="2E07BB5C" w14:textId="2D7F693D" w:rsidR="00B41B48"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10. mijenja se i glasi:</w:t>
      </w:r>
    </w:p>
    <w:p w14:paraId="7A83B14B" w14:textId="3DA2AACF" w:rsidR="00972DBC" w:rsidRPr="00DB3EE3" w:rsidRDefault="00B41B48" w:rsidP="00EC4BCD">
      <w:pPr>
        <w:pStyle w:val="Odlomakpopisa"/>
        <w:shd w:val="clear" w:color="auto" w:fill="FFFFFF"/>
        <w:spacing w:after="120" w:line="276" w:lineRule="auto"/>
        <w:ind w:left="360"/>
        <w:rPr>
          <w:rFonts w:eastAsia="Times New Roman" w:cs="Arial"/>
          <w:szCs w:val="20"/>
          <w:lang w:eastAsia="hr-HR"/>
        </w:rPr>
      </w:pPr>
      <w:r w:rsidRPr="00DB3EE3">
        <w:rPr>
          <w:rFonts w:eastAsia="Times New Roman" w:cs="Arial"/>
          <w:szCs w:val="20"/>
          <w:lang w:eastAsia="hr-HR"/>
        </w:rPr>
        <w:t>„</w:t>
      </w:r>
      <w:r w:rsidR="00972DBC" w:rsidRPr="00DB3EE3">
        <w:rPr>
          <w:rFonts w:eastAsia="Times New Roman" w:cs="Arial"/>
          <w:szCs w:val="20"/>
          <w:lang w:eastAsia="hr-HR"/>
        </w:rPr>
        <w:t xml:space="preserve">Uvjeti gradnje </w:t>
      </w:r>
      <w:r w:rsidR="00590B06" w:rsidRPr="00DB3EE3">
        <w:rPr>
          <w:rFonts w:eastAsia="Times New Roman" w:cs="Arial"/>
          <w:szCs w:val="20"/>
          <w:lang w:eastAsia="hr-HR"/>
        </w:rPr>
        <w:t xml:space="preserve">na građevnim česticama utvrđenim na kartografskom prikazu 4. </w:t>
      </w:r>
      <w:r w:rsidR="00972DBC" w:rsidRPr="00DB3EE3">
        <w:rPr>
          <w:rFonts w:eastAsia="Times New Roman" w:cs="Arial"/>
          <w:szCs w:val="20"/>
          <w:lang w:eastAsia="hr-HR"/>
        </w:rPr>
        <w:t>definirani su tabelarnim prikazom.</w:t>
      </w:r>
    </w:p>
    <w:p w14:paraId="6EAB3D08" w14:textId="77777777" w:rsidR="00972DBC" w:rsidRPr="00DB3EE3" w:rsidRDefault="00972DBC" w:rsidP="00EC4BCD">
      <w:pPr>
        <w:shd w:val="clear" w:color="auto" w:fill="FFFFFF"/>
        <w:spacing w:after="120" w:line="276" w:lineRule="auto"/>
        <w:jc w:val="left"/>
        <w:rPr>
          <w:rFonts w:eastAsia="Times New Roman" w:cs="Arial"/>
          <w:szCs w:val="20"/>
          <w:lang w:eastAsia="hr-HR"/>
        </w:rPr>
      </w:pPr>
    </w:p>
    <w:tbl>
      <w:tblPr>
        <w:tblStyle w:val="Reetkatablice"/>
        <w:tblW w:w="0" w:type="auto"/>
        <w:tblLook w:val="04A0" w:firstRow="1" w:lastRow="0" w:firstColumn="1" w:lastColumn="0" w:noHBand="0" w:noVBand="1"/>
      </w:tblPr>
      <w:tblGrid>
        <w:gridCol w:w="1682"/>
        <w:gridCol w:w="1051"/>
        <w:gridCol w:w="1295"/>
        <w:gridCol w:w="1815"/>
        <w:gridCol w:w="1415"/>
        <w:gridCol w:w="1758"/>
      </w:tblGrid>
      <w:tr w:rsidR="00DB3EE3" w:rsidRPr="00DB3EE3" w14:paraId="70E7D7B0" w14:textId="77777777" w:rsidTr="006C48F2">
        <w:tc>
          <w:tcPr>
            <w:tcW w:w="1682" w:type="dxa"/>
          </w:tcPr>
          <w:p w14:paraId="10CA4261"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Broj oznaka čestice</w:t>
            </w:r>
          </w:p>
        </w:tc>
        <w:tc>
          <w:tcPr>
            <w:tcW w:w="1051" w:type="dxa"/>
          </w:tcPr>
          <w:p w14:paraId="3A6138F6"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površina čestice*</w:t>
            </w:r>
          </w:p>
        </w:tc>
        <w:tc>
          <w:tcPr>
            <w:tcW w:w="1295" w:type="dxa"/>
          </w:tcPr>
          <w:p w14:paraId="3ED31846"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Koeficijent izgrađenosti</w:t>
            </w:r>
          </w:p>
        </w:tc>
        <w:tc>
          <w:tcPr>
            <w:tcW w:w="1815" w:type="dxa"/>
          </w:tcPr>
          <w:p w14:paraId="43570647"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max. tlocrtna izgrađenost (m</w:t>
            </w:r>
            <w:r w:rsidRPr="00DB3EE3">
              <w:rPr>
                <w:rFonts w:eastAsia="Times New Roman" w:cs="Arial"/>
                <w:szCs w:val="20"/>
                <w:vertAlign w:val="superscript"/>
                <w:lang w:eastAsia="hr-HR"/>
              </w:rPr>
              <w:t>2</w:t>
            </w:r>
            <w:r w:rsidRPr="00DB3EE3">
              <w:rPr>
                <w:rFonts w:eastAsia="Times New Roman" w:cs="Arial"/>
                <w:szCs w:val="20"/>
                <w:lang w:eastAsia="hr-HR"/>
              </w:rPr>
              <w:t>)*</w:t>
            </w:r>
          </w:p>
        </w:tc>
        <w:tc>
          <w:tcPr>
            <w:tcW w:w="1415" w:type="dxa"/>
          </w:tcPr>
          <w:p w14:paraId="7C98AB41"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Koeficijent iskorištenosti</w:t>
            </w:r>
          </w:p>
        </w:tc>
        <w:tc>
          <w:tcPr>
            <w:tcW w:w="1758" w:type="dxa"/>
          </w:tcPr>
          <w:p w14:paraId="07EED82C" w14:textId="77777777" w:rsidR="006C48F2" w:rsidRPr="00DB3EE3" w:rsidRDefault="006C48F2" w:rsidP="00EC4BCD">
            <w:pPr>
              <w:spacing w:after="120" w:line="276" w:lineRule="auto"/>
              <w:jc w:val="left"/>
              <w:rPr>
                <w:rFonts w:eastAsia="Times New Roman" w:cs="Arial"/>
                <w:szCs w:val="20"/>
                <w:lang w:eastAsia="hr-HR"/>
              </w:rPr>
            </w:pPr>
            <w:r w:rsidRPr="00DB3EE3">
              <w:rPr>
                <w:rFonts w:eastAsia="Times New Roman" w:cs="Arial"/>
                <w:szCs w:val="20"/>
                <w:lang w:eastAsia="hr-HR"/>
              </w:rPr>
              <w:t>Bruto Izgrađenost (m</w:t>
            </w:r>
            <w:r w:rsidRPr="00DB3EE3">
              <w:rPr>
                <w:rFonts w:eastAsia="Times New Roman" w:cs="Arial"/>
                <w:szCs w:val="20"/>
                <w:vertAlign w:val="superscript"/>
                <w:lang w:eastAsia="hr-HR"/>
              </w:rPr>
              <w:t>2</w:t>
            </w:r>
            <w:r w:rsidRPr="00DB3EE3">
              <w:rPr>
                <w:rFonts w:eastAsia="Times New Roman" w:cs="Arial"/>
                <w:szCs w:val="20"/>
                <w:lang w:eastAsia="hr-HR"/>
              </w:rPr>
              <w:t>)</w:t>
            </w:r>
          </w:p>
        </w:tc>
      </w:tr>
      <w:tr w:rsidR="00DB3EE3" w:rsidRPr="00DB3EE3" w14:paraId="0FFE7A0D" w14:textId="77777777" w:rsidTr="006C48F2">
        <w:tc>
          <w:tcPr>
            <w:tcW w:w="1682" w:type="dxa"/>
          </w:tcPr>
          <w:p w14:paraId="094A74A0"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w:t>
            </w:r>
          </w:p>
        </w:tc>
        <w:tc>
          <w:tcPr>
            <w:tcW w:w="1051" w:type="dxa"/>
            <w:vAlign w:val="center"/>
          </w:tcPr>
          <w:p w14:paraId="3826D3A7"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4590</w:t>
            </w:r>
          </w:p>
        </w:tc>
        <w:tc>
          <w:tcPr>
            <w:tcW w:w="1295" w:type="dxa"/>
            <w:vAlign w:val="center"/>
          </w:tcPr>
          <w:p w14:paraId="438521FC"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0,35</w:t>
            </w:r>
          </w:p>
        </w:tc>
        <w:tc>
          <w:tcPr>
            <w:tcW w:w="1815" w:type="dxa"/>
            <w:vAlign w:val="center"/>
          </w:tcPr>
          <w:p w14:paraId="6DCD0152"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1650</w:t>
            </w:r>
          </w:p>
        </w:tc>
        <w:tc>
          <w:tcPr>
            <w:tcW w:w="1415" w:type="dxa"/>
            <w:vAlign w:val="center"/>
          </w:tcPr>
          <w:p w14:paraId="01BA7DBC"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0,70</w:t>
            </w:r>
          </w:p>
        </w:tc>
        <w:tc>
          <w:tcPr>
            <w:tcW w:w="1758" w:type="dxa"/>
            <w:vAlign w:val="center"/>
          </w:tcPr>
          <w:p w14:paraId="544902D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3300</w:t>
            </w:r>
          </w:p>
        </w:tc>
      </w:tr>
      <w:tr w:rsidR="00DB3EE3" w:rsidRPr="00DB3EE3" w14:paraId="6B0D170A" w14:textId="77777777" w:rsidTr="006C48F2">
        <w:tc>
          <w:tcPr>
            <w:tcW w:w="1682" w:type="dxa"/>
          </w:tcPr>
          <w:p w14:paraId="309D01F1"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lastRenderedPageBreak/>
              <w:t>2</w:t>
            </w:r>
          </w:p>
        </w:tc>
        <w:tc>
          <w:tcPr>
            <w:tcW w:w="1051" w:type="dxa"/>
            <w:vAlign w:val="center"/>
          </w:tcPr>
          <w:p w14:paraId="111FD9B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4930</w:t>
            </w:r>
          </w:p>
        </w:tc>
        <w:tc>
          <w:tcPr>
            <w:tcW w:w="1295" w:type="dxa"/>
            <w:vAlign w:val="center"/>
          </w:tcPr>
          <w:p w14:paraId="3DE4D34E"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0,35</w:t>
            </w:r>
          </w:p>
        </w:tc>
        <w:tc>
          <w:tcPr>
            <w:tcW w:w="1815" w:type="dxa"/>
            <w:vAlign w:val="center"/>
          </w:tcPr>
          <w:p w14:paraId="0BD9494F"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1750</w:t>
            </w:r>
          </w:p>
        </w:tc>
        <w:tc>
          <w:tcPr>
            <w:tcW w:w="1415" w:type="dxa"/>
            <w:vAlign w:val="center"/>
          </w:tcPr>
          <w:p w14:paraId="48159637"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0,70</w:t>
            </w:r>
          </w:p>
        </w:tc>
        <w:tc>
          <w:tcPr>
            <w:tcW w:w="1758" w:type="dxa"/>
            <w:vAlign w:val="center"/>
          </w:tcPr>
          <w:p w14:paraId="07F8B38F"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3500</w:t>
            </w:r>
          </w:p>
        </w:tc>
      </w:tr>
      <w:tr w:rsidR="00DB3EE3" w:rsidRPr="00DB3EE3" w14:paraId="377DAC16" w14:textId="77777777" w:rsidTr="006C48F2">
        <w:tc>
          <w:tcPr>
            <w:tcW w:w="1682" w:type="dxa"/>
          </w:tcPr>
          <w:p w14:paraId="7039CD45" w14:textId="12F754A4"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w:t>
            </w:r>
          </w:p>
        </w:tc>
        <w:tc>
          <w:tcPr>
            <w:tcW w:w="1051" w:type="dxa"/>
            <w:vAlign w:val="center"/>
          </w:tcPr>
          <w:p w14:paraId="25B83E81"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8270</w:t>
            </w:r>
          </w:p>
        </w:tc>
        <w:tc>
          <w:tcPr>
            <w:tcW w:w="1295" w:type="dxa"/>
            <w:vAlign w:val="center"/>
          </w:tcPr>
          <w:p w14:paraId="2185B5CA"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0,30</w:t>
            </w:r>
          </w:p>
        </w:tc>
        <w:tc>
          <w:tcPr>
            <w:tcW w:w="1815" w:type="dxa"/>
            <w:vAlign w:val="center"/>
          </w:tcPr>
          <w:p w14:paraId="71831892"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2500</w:t>
            </w:r>
          </w:p>
        </w:tc>
        <w:tc>
          <w:tcPr>
            <w:tcW w:w="1415" w:type="dxa"/>
            <w:vAlign w:val="center"/>
          </w:tcPr>
          <w:p w14:paraId="7163D89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0,60</w:t>
            </w:r>
          </w:p>
        </w:tc>
        <w:tc>
          <w:tcPr>
            <w:tcW w:w="1758" w:type="dxa"/>
            <w:vAlign w:val="center"/>
          </w:tcPr>
          <w:p w14:paraId="1A43D637"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5000</w:t>
            </w:r>
          </w:p>
        </w:tc>
      </w:tr>
      <w:tr w:rsidR="00DB3EE3" w:rsidRPr="00DB3EE3" w14:paraId="49D3A13F" w14:textId="77777777" w:rsidTr="006C48F2">
        <w:tc>
          <w:tcPr>
            <w:tcW w:w="1682" w:type="dxa"/>
          </w:tcPr>
          <w:p w14:paraId="6B3F92FE" w14:textId="76924D9A"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4</w:t>
            </w:r>
          </w:p>
        </w:tc>
        <w:tc>
          <w:tcPr>
            <w:tcW w:w="1051" w:type="dxa"/>
            <w:vAlign w:val="center"/>
          </w:tcPr>
          <w:p w14:paraId="21B9F7C3"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5340</w:t>
            </w:r>
          </w:p>
        </w:tc>
        <w:tc>
          <w:tcPr>
            <w:tcW w:w="1295" w:type="dxa"/>
            <w:vAlign w:val="center"/>
          </w:tcPr>
          <w:p w14:paraId="461D9908"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0,35</w:t>
            </w:r>
          </w:p>
        </w:tc>
        <w:tc>
          <w:tcPr>
            <w:tcW w:w="1815" w:type="dxa"/>
            <w:vAlign w:val="center"/>
          </w:tcPr>
          <w:p w14:paraId="1560157D"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1900</w:t>
            </w:r>
          </w:p>
        </w:tc>
        <w:tc>
          <w:tcPr>
            <w:tcW w:w="1415" w:type="dxa"/>
            <w:vAlign w:val="center"/>
          </w:tcPr>
          <w:p w14:paraId="063222DC"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0,70</w:t>
            </w:r>
          </w:p>
        </w:tc>
        <w:tc>
          <w:tcPr>
            <w:tcW w:w="1758" w:type="dxa"/>
            <w:vAlign w:val="center"/>
          </w:tcPr>
          <w:p w14:paraId="01A59F0F"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3800</w:t>
            </w:r>
          </w:p>
        </w:tc>
      </w:tr>
      <w:tr w:rsidR="00DB3EE3" w:rsidRPr="00DB3EE3" w14:paraId="0129CAE9" w14:textId="77777777" w:rsidTr="006C48F2">
        <w:tc>
          <w:tcPr>
            <w:tcW w:w="1682" w:type="dxa"/>
          </w:tcPr>
          <w:p w14:paraId="56DDBA77" w14:textId="4F0248CB"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5 (</w:t>
            </w:r>
            <w:r w:rsidR="00883C7C" w:rsidRPr="00DB3EE3">
              <w:rPr>
                <w:rFonts w:eastAsia="Times New Roman" w:cs="Arial"/>
                <w:szCs w:val="20"/>
                <w:lang w:eastAsia="hr-HR"/>
              </w:rPr>
              <w:t>javna zelena površina</w:t>
            </w:r>
            <w:r w:rsidRPr="00DB3EE3">
              <w:rPr>
                <w:rFonts w:eastAsia="Times New Roman" w:cs="Arial"/>
                <w:szCs w:val="20"/>
                <w:lang w:eastAsia="hr-HR"/>
              </w:rPr>
              <w:t>)</w:t>
            </w:r>
          </w:p>
        </w:tc>
        <w:tc>
          <w:tcPr>
            <w:tcW w:w="1051" w:type="dxa"/>
            <w:vAlign w:val="center"/>
          </w:tcPr>
          <w:p w14:paraId="13473E9A"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320</w:t>
            </w:r>
          </w:p>
        </w:tc>
        <w:tc>
          <w:tcPr>
            <w:tcW w:w="1295" w:type="dxa"/>
            <w:vAlign w:val="center"/>
          </w:tcPr>
          <w:p w14:paraId="2F39457B"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815" w:type="dxa"/>
            <w:vAlign w:val="center"/>
          </w:tcPr>
          <w:p w14:paraId="432B479D"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415" w:type="dxa"/>
            <w:vAlign w:val="center"/>
          </w:tcPr>
          <w:p w14:paraId="6E673A42"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758" w:type="dxa"/>
            <w:vAlign w:val="center"/>
          </w:tcPr>
          <w:p w14:paraId="0932E938"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r>
      <w:tr w:rsidR="00DB3EE3" w:rsidRPr="00DB3EE3" w14:paraId="74480D80" w14:textId="77777777" w:rsidTr="006C48F2">
        <w:tc>
          <w:tcPr>
            <w:tcW w:w="1682" w:type="dxa"/>
          </w:tcPr>
          <w:p w14:paraId="3B59FDA6"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6 (trafostanica)</w:t>
            </w:r>
          </w:p>
        </w:tc>
        <w:tc>
          <w:tcPr>
            <w:tcW w:w="1051" w:type="dxa"/>
            <w:vAlign w:val="center"/>
          </w:tcPr>
          <w:p w14:paraId="06649B3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110</w:t>
            </w:r>
          </w:p>
        </w:tc>
        <w:tc>
          <w:tcPr>
            <w:tcW w:w="1295" w:type="dxa"/>
            <w:vAlign w:val="center"/>
          </w:tcPr>
          <w:p w14:paraId="5CA2ED49"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0,35</w:t>
            </w:r>
          </w:p>
        </w:tc>
        <w:tc>
          <w:tcPr>
            <w:tcW w:w="1815" w:type="dxa"/>
            <w:vAlign w:val="center"/>
          </w:tcPr>
          <w:p w14:paraId="7175E9BA"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35</w:t>
            </w:r>
          </w:p>
        </w:tc>
        <w:tc>
          <w:tcPr>
            <w:tcW w:w="1415" w:type="dxa"/>
            <w:vAlign w:val="center"/>
          </w:tcPr>
          <w:p w14:paraId="5394671A"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0,35</w:t>
            </w:r>
          </w:p>
        </w:tc>
        <w:tc>
          <w:tcPr>
            <w:tcW w:w="1758" w:type="dxa"/>
            <w:vAlign w:val="center"/>
          </w:tcPr>
          <w:p w14:paraId="7F4424E3"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35</w:t>
            </w:r>
          </w:p>
        </w:tc>
      </w:tr>
      <w:tr w:rsidR="00DB3EE3" w:rsidRPr="00DB3EE3" w14:paraId="70FFB682" w14:textId="77777777" w:rsidTr="006C48F2">
        <w:tc>
          <w:tcPr>
            <w:tcW w:w="1682" w:type="dxa"/>
          </w:tcPr>
          <w:p w14:paraId="0B3ADD37"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7 (trafostanica)</w:t>
            </w:r>
          </w:p>
        </w:tc>
        <w:tc>
          <w:tcPr>
            <w:tcW w:w="1051" w:type="dxa"/>
            <w:vAlign w:val="center"/>
          </w:tcPr>
          <w:p w14:paraId="6C45483E"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105</w:t>
            </w:r>
          </w:p>
        </w:tc>
        <w:tc>
          <w:tcPr>
            <w:tcW w:w="1295" w:type="dxa"/>
            <w:vAlign w:val="center"/>
          </w:tcPr>
          <w:p w14:paraId="38F15461"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0,33</w:t>
            </w:r>
          </w:p>
        </w:tc>
        <w:tc>
          <w:tcPr>
            <w:tcW w:w="1815" w:type="dxa"/>
            <w:vAlign w:val="center"/>
          </w:tcPr>
          <w:p w14:paraId="1D3EEFC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35</w:t>
            </w:r>
          </w:p>
        </w:tc>
        <w:tc>
          <w:tcPr>
            <w:tcW w:w="1415" w:type="dxa"/>
            <w:vAlign w:val="center"/>
          </w:tcPr>
          <w:p w14:paraId="12812CF0"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0,33</w:t>
            </w:r>
          </w:p>
        </w:tc>
        <w:tc>
          <w:tcPr>
            <w:tcW w:w="1758" w:type="dxa"/>
            <w:vAlign w:val="center"/>
          </w:tcPr>
          <w:p w14:paraId="00A5BAE6"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35</w:t>
            </w:r>
          </w:p>
        </w:tc>
      </w:tr>
      <w:tr w:rsidR="00DB3EE3" w:rsidRPr="00DB3EE3" w14:paraId="29D6E541" w14:textId="77777777" w:rsidTr="006C48F2">
        <w:tc>
          <w:tcPr>
            <w:tcW w:w="1682" w:type="dxa"/>
          </w:tcPr>
          <w:p w14:paraId="1D0998D5"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8 (parkiralište i prilaz)</w:t>
            </w:r>
          </w:p>
        </w:tc>
        <w:tc>
          <w:tcPr>
            <w:tcW w:w="1051" w:type="dxa"/>
            <w:vAlign w:val="center"/>
          </w:tcPr>
          <w:p w14:paraId="1438EF49" w14:textId="77777777"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340</w:t>
            </w:r>
          </w:p>
        </w:tc>
        <w:tc>
          <w:tcPr>
            <w:tcW w:w="1295" w:type="dxa"/>
            <w:vAlign w:val="center"/>
          </w:tcPr>
          <w:p w14:paraId="67407711" w14:textId="3FE561FF"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815" w:type="dxa"/>
            <w:vAlign w:val="center"/>
          </w:tcPr>
          <w:p w14:paraId="2F24C62E" w14:textId="5DED51E5"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415" w:type="dxa"/>
            <w:vAlign w:val="center"/>
          </w:tcPr>
          <w:p w14:paraId="30D3A7FB" w14:textId="746BAB5C"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c>
          <w:tcPr>
            <w:tcW w:w="1758" w:type="dxa"/>
            <w:vAlign w:val="center"/>
          </w:tcPr>
          <w:p w14:paraId="42E016C9" w14:textId="6199DB36" w:rsidR="006C48F2" w:rsidRPr="00DB3EE3" w:rsidRDefault="006C48F2" w:rsidP="00EC4BCD">
            <w:pPr>
              <w:spacing w:after="120" w:line="276" w:lineRule="auto"/>
              <w:jc w:val="center"/>
              <w:rPr>
                <w:rFonts w:eastAsia="Times New Roman" w:cs="Arial"/>
                <w:szCs w:val="20"/>
                <w:lang w:eastAsia="hr-HR"/>
              </w:rPr>
            </w:pPr>
            <w:r w:rsidRPr="00DB3EE3">
              <w:rPr>
                <w:rFonts w:eastAsia="Times New Roman" w:cs="Arial"/>
                <w:szCs w:val="20"/>
                <w:lang w:eastAsia="hr-HR"/>
              </w:rPr>
              <w:t>-</w:t>
            </w:r>
          </w:p>
        </w:tc>
      </w:tr>
    </w:tbl>
    <w:p w14:paraId="394D0C06" w14:textId="16A4FDC0" w:rsidR="00972DBC" w:rsidRPr="00DB3EE3" w:rsidRDefault="00580D13" w:rsidP="00EC4BCD">
      <w:p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*napomena: sve površine su izmjerene digitalnim putem i približne su vrijednosti; točna vrijednost dobit će se geodetskom izmjerom i parcelacijskim elaboratom;</w:t>
      </w:r>
      <w:r w:rsidR="00B41B48" w:rsidRPr="00DB3EE3">
        <w:rPr>
          <w:rFonts w:eastAsia="Times New Roman" w:cs="Arial"/>
          <w:szCs w:val="20"/>
          <w:lang w:eastAsia="hr-HR"/>
        </w:rPr>
        <w:t>“</w:t>
      </w:r>
    </w:p>
    <w:p w14:paraId="18CCF3DA" w14:textId="77777777" w:rsidR="00580D13" w:rsidRPr="00DB3EE3" w:rsidRDefault="00580D13" w:rsidP="00EC4BCD">
      <w:pPr>
        <w:shd w:val="clear" w:color="auto" w:fill="FFFFFF"/>
        <w:spacing w:after="120" w:line="276" w:lineRule="auto"/>
        <w:jc w:val="left"/>
        <w:rPr>
          <w:rFonts w:eastAsia="Times New Roman" w:cs="Arial"/>
          <w:szCs w:val="20"/>
          <w:lang w:eastAsia="hr-HR"/>
        </w:rPr>
      </w:pPr>
    </w:p>
    <w:p w14:paraId="7C084A60" w14:textId="5F84DFD5" w:rsidR="00B41B48" w:rsidRPr="00DB3EE3" w:rsidRDefault="00B41B48" w:rsidP="00EC4BCD">
      <w:p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Članak 5.</w:t>
      </w:r>
    </w:p>
    <w:p w14:paraId="1BD15862" w14:textId="4C3EF162" w:rsidR="00B41B48" w:rsidRPr="00DB3EE3" w:rsidRDefault="00B41B48" w:rsidP="00EC4BCD">
      <w:pPr>
        <w:pStyle w:val="Odlomakpopisa"/>
        <w:numPr>
          <w:ilvl w:val="0"/>
          <w:numId w:val="45"/>
        </w:num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U članku 11. briše se stavak (2).</w:t>
      </w:r>
    </w:p>
    <w:p w14:paraId="30A42984" w14:textId="67999034" w:rsidR="00B41B48" w:rsidRPr="00DB3EE3" w:rsidRDefault="00B41B48" w:rsidP="00EC4BCD">
      <w:pPr>
        <w:pStyle w:val="Odlomakpopisa"/>
        <w:numPr>
          <w:ilvl w:val="0"/>
          <w:numId w:val="45"/>
        </w:num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U članku 11. postojeći stavak (3) postaje stavak (2).</w:t>
      </w:r>
    </w:p>
    <w:p w14:paraId="3A51F39A" w14:textId="77777777" w:rsidR="00B41B48" w:rsidRPr="00DB3EE3" w:rsidRDefault="00B41B48" w:rsidP="00EC4BCD">
      <w:pPr>
        <w:shd w:val="clear" w:color="auto" w:fill="FFFFFF"/>
        <w:spacing w:after="120" w:line="276" w:lineRule="auto"/>
        <w:jc w:val="left"/>
        <w:rPr>
          <w:rFonts w:eastAsia="Times New Roman" w:cs="Arial"/>
          <w:szCs w:val="20"/>
          <w:lang w:eastAsia="hr-HR"/>
        </w:rPr>
      </w:pPr>
    </w:p>
    <w:p w14:paraId="411B2D2C" w14:textId="29C4C049"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6.</w:t>
      </w:r>
    </w:p>
    <w:p w14:paraId="44246911" w14:textId="5B7FC69B" w:rsidR="00B41B48"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12. mijenja se i glasi:</w:t>
      </w:r>
    </w:p>
    <w:p w14:paraId="2F749CCD" w14:textId="1163B33F"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„(1) </w:t>
      </w:r>
      <w:r w:rsidR="00972DBC" w:rsidRPr="00DB3EE3">
        <w:rPr>
          <w:rFonts w:eastAsia="Times New Roman" w:cs="Arial"/>
          <w:szCs w:val="20"/>
          <w:lang w:eastAsia="hr-HR"/>
        </w:rPr>
        <w:t>Osnovna namjena građevina određena je u kartografskim prikazima br. 1 »Detaljna namjena površina« i br. 4. »Uvjeti gradnje«.</w:t>
      </w:r>
      <w:r w:rsidR="001232E0" w:rsidRPr="00DB3EE3">
        <w:rPr>
          <w:rFonts w:eastAsia="Times New Roman" w:cs="Arial"/>
          <w:szCs w:val="20"/>
          <w:lang w:eastAsia="hr-HR"/>
        </w:rPr>
        <w:t xml:space="preserve"> Osnovna namjena može sadržavati više </w:t>
      </w:r>
      <w:r w:rsidR="009F6AE8" w:rsidRPr="00DB3EE3">
        <w:rPr>
          <w:rFonts w:eastAsia="Times New Roman" w:cs="Arial"/>
          <w:szCs w:val="20"/>
          <w:lang w:eastAsia="hr-HR"/>
        </w:rPr>
        <w:t>poslovnih građevina, koji moraju činiti funkcionalnu i arhitektonsku cjelinu, a sve u svrhu obavljanja djelatnosti.</w:t>
      </w:r>
    </w:p>
    <w:p w14:paraId="27B033E6" w14:textId="66A294F5"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972DBC" w:rsidRPr="00DB3EE3">
        <w:rPr>
          <w:rFonts w:eastAsia="Times New Roman" w:cs="Arial"/>
          <w:szCs w:val="20"/>
          <w:lang w:eastAsia="hr-HR"/>
        </w:rPr>
        <w:t>Uz osnovnu namjenu mogu se organizirati pomoćni, uredski i drugi prateći sadržaji</w:t>
      </w:r>
      <w:r w:rsidR="009F6AE8" w:rsidRPr="00DB3EE3">
        <w:rPr>
          <w:rFonts w:eastAsia="Times New Roman" w:cs="Arial"/>
          <w:szCs w:val="20"/>
          <w:lang w:eastAsia="hr-HR"/>
        </w:rPr>
        <w:t xml:space="preserve"> kao samostalni ili kao sastavni dio osnovnih građevina</w:t>
      </w:r>
      <w:r w:rsidR="00972DBC" w:rsidRPr="00DB3EE3">
        <w:rPr>
          <w:rFonts w:eastAsia="Times New Roman" w:cs="Arial"/>
          <w:szCs w:val="20"/>
          <w:lang w:eastAsia="hr-HR"/>
        </w:rPr>
        <w:t>.</w:t>
      </w:r>
      <w:r w:rsidRPr="00DB3EE3">
        <w:rPr>
          <w:rFonts w:eastAsia="Times New Roman" w:cs="Arial"/>
          <w:szCs w:val="20"/>
          <w:lang w:eastAsia="hr-HR"/>
        </w:rPr>
        <w:t>“</w:t>
      </w:r>
    </w:p>
    <w:p w14:paraId="4AAB0AE2" w14:textId="77777777" w:rsidR="00972DBC" w:rsidRPr="00DB3EE3" w:rsidRDefault="00972DBC" w:rsidP="00EC4BCD">
      <w:pPr>
        <w:shd w:val="clear" w:color="auto" w:fill="FFFFFF"/>
        <w:spacing w:after="120" w:line="276" w:lineRule="auto"/>
        <w:rPr>
          <w:rFonts w:eastAsia="Times New Roman" w:cs="Arial"/>
          <w:szCs w:val="20"/>
          <w:lang w:eastAsia="hr-HR"/>
        </w:rPr>
      </w:pPr>
    </w:p>
    <w:p w14:paraId="6649B126" w14:textId="5FEF63AB" w:rsidR="00B41B48"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7.</w:t>
      </w:r>
    </w:p>
    <w:p w14:paraId="1E57CF10" w14:textId="64A186BA" w:rsidR="00B41B48"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13. stavak (2) mijenja se i glasi:</w:t>
      </w:r>
    </w:p>
    <w:p w14:paraId="09F5C898" w14:textId="4259D9C4" w:rsidR="00972DBC" w:rsidRPr="00DB3EE3" w:rsidRDefault="00B41B4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9F6AE8" w:rsidRPr="00DB3EE3">
        <w:rPr>
          <w:rFonts w:eastAsia="Times New Roman" w:cs="Arial"/>
          <w:szCs w:val="20"/>
          <w:lang w:eastAsia="hr-HR"/>
        </w:rPr>
        <w:t xml:space="preserve">Sve građevine se smještaju unutar gradivog dijela građevne čestice. Površine izvan gradivog dijela koriste se kao uređene površine – zelene površine, parkirališne površine, površine za smještaj komunalnih uređaja i </w:t>
      </w:r>
      <w:r w:rsidR="00191BB5" w:rsidRPr="00DB3EE3">
        <w:rPr>
          <w:rFonts w:eastAsia="Times New Roman" w:cs="Arial"/>
          <w:szCs w:val="20"/>
          <w:lang w:eastAsia="hr-HR"/>
        </w:rPr>
        <w:t>zbrinjavanje otpada.</w:t>
      </w:r>
      <w:r w:rsidRPr="00DB3EE3">
        <w:rPr>
          <w:rFonts w:eastAsia="Times New Roman" w:cs="Arial"/>
          <w:szCs w:val="20"/>
          <w:lang w:eastAsia="hr-HR"/>
        </w:rPr>
        <w:t>“</w:t>
      </w:r>
    </w:p>
    <w:p w14:paraId="4F3AF36A" w14:textId="77777777" w:rsidR="005F1B6C" w:rsidRPr="00DB3EE3" w:rsidRDefault="005F1B6C" w:rsidP="00EC4BCD">
      <w:pPr>
        <w:shd w:val="clear" w:color="auto" w:fill="FFFFFF"/>
        <w:spacing w:after="120" w:line="276" w:lineRule="auto"/>
        <w:rPr>
          <w:rFonts w:eastAsia="Times New Roman" w:cs="Arial"/>
          <w:szCs w:val="20"/>
          <w:lang w:eastAsia="hr-HR"/>
        </w:rPr>
      </w:pPr>
    </w:p>
    <w:p w14:paraId="1AC84489" w14:textId="5A588D15" w:rsidR="00972DBC" w:rsidRPr="00DB3EE3" w:rsidRDefault="00223A6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8.</w:t>
      </w:r>
    </w:p>
    <w:p w14:paraId="55ACB6A2" w14:textId="1164892D" w:rsidR="00223A68" w:rsidRPr="00DB3EE3" w:rsidRDefault="00223A6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15. točka završetka odredbe zamjenjuje se zarezom i dodaje slijedeći tekst:</w:t>
      </w:r>
    </w:p>
    <w:p w14:paraId="0FFA0BCC" w14:textId="709CE9FD" w:rsidR="00972DBC" w:rsidRPr="00DB3EE3" w:rsidRDefault="00223A68" w:rsidP="00EC4BCD">
      <w:pPr>
        <w:pStyle w:val="Odlomakpopisa"/>
        <w:shd w:val="clear" w:color="auto" w:fill="FFFFFF"/>
        <w:spacing w:after="120" w:line="276" w:lineRule="auto"/>
        <w:ind w:left="360"/>
        <w:rPr>
          <w:rFonts w:eastAsia="Times New Roman" w:cs="Arial"/>
          <w:szCs w:val="20"/>
          <w:lang w:eastAsia="hr-HR"/>
        </w:rPr>
      </w:pPr>
      <w:r w:rsidRPr="00DB3EE3">
        <w:rPr>
          <w:rFonts w:eastAsia="Times New Roman" w:cs="Arial"/>
          <w:szCs w:val="20"/>
          <w:lang w:eastAsia="hr-HR"/>
        </w:rPr>
        <w:t>„</w:t>
      </w:r>
      <w:r w:rsidR="00191BB5" w:rsidRPr="00DB3EE3">
        <w:rPr>
          <w:rFonts w:eastAsia="Times New Roman" w:cs="Arial"/>
          <w:szCs w:val="20"/>
          <w:lang w:eastAsia="hr-HR"/>
        </w:rPr>
        <w:t>sukladno članku 13. ovih Odredbi</w:t>
      </w:r>
      <w:r w:rsidR="00972DBC" w:rsidRPr="00DB3EE3">
        <w:rPr>
          <w:rFonts w:eastAsia="Times New Roman" w:cs="Arial"/>
          <w:szCs w:val="20"/>
          <w:lang w:eastAsia="hr-HR"/>
        </w:rPr>
        <w:t>.</w:t>
      </w:r>
      <w:r w:rsidR="00191BB5" w:rsidRPr="00DB3EE3">
        <w:rPr>
          <w:rFonts w:eastAsia="Times New Roman" w:cs="Arial"/>
          <w:szCs w:val="20"/>
          <w:lang w:eastAsia="hr-HR"/>
        </w:rPr>
        <w:t xml:space="preserve"> Zelene površine moraju zauzimati najmanje 15% ukupne površine građevne čestice.</w:t>
      </w:r>
      <w:r w:rsidRPr="00DB3EE3">
        <w:rPr>
          <w:rFonts w:eastAsia="Times New Roman" w:cs="Arial"/>
          <w:szCs w:val="20"/>
          <w:lang w:eastAsia="hr-HR"/>
        </w:rPr>
        <w:t>“</w:t>
      </w:r>
    </w:p>
    <w:p w14:paraId="71F5A199" w14:textId="77777777" w:rsidR="00FC401A" w:rsidRPr="00DB3EE3" w:rsidRDefault="00FC401A" w:rsidP="00EC4BCD">
      <w:pPr>
        <w:shd w:val="clear" w:color="auto" w:fill="FFFFFF"/>
        <w:spacing w:after="120" w:line="276" w:lineRule="auto"/>
        <w:rPr>
          <w:rFonts w:eastAsia="Times New Roman" w:cs="Arial"/>
          <w:szCs w:val="20"/>
          <w:lang w:eastAsia="hr-HR"/>
        </w:rPr>
      </w:pPr>
    </w:p>
    <w:p w14:paraId="46E15932" w14:textId="6441CAB3" w:rsidR="00972DBC" w:rsidRPr="00DB3EE3" w:rsidRDefault="00223A6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9.</w:t>
      </w:r>
    </w:p>
    <w:p w14:paraId="5D61BB61" w14:textId="1CE08EEC" w:rsidR="00223A68" w:rsidRPr="00DB3EE3" w:rsidRDefault="00223A68"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U članku 22. stavak (1) </w:t>
      </w:r>
      <w:r w:rsidR="005A3D73" w:rsidRPr="00DB3EE3">
        <w:rPr>
          <w:rFonts w:eastAsia="Times New Roman" w:cs="Arial"/>
          <w:szCs w:val="20"/>
          <w:lang w:eastAsia="hr-HR"/>
        </w:rPr>
        <w:t>n</w:t>
      </w:r>
      <w:r w:rsidRPr="00DB3EE3">
        <w:rPr>
          <w:rFonts w:eastAsia="Times New Roman" w:cs="Arial"/>
          <w:szCs w:val="20"/>
          <w:lang w:eastAsia="hr-HR"/>
        </w:rPr>
        <w:t>avod „</w:t>
      </w:r>
      <w:r w:rsidR="005A3D73" w:rsidRPr="00DB3EE3">
        <w:rPr>
          <w:rFonts w:eastAsia="Times New Roman" w:cs="Arial"/>
          <w:szCs w:val="20"/>
          <w:lang w:eastAsia="hr-HR"/>
        </w:rPr>
        <w:t>kartografskom prikazu br. 4. »Uvjeti gradnje«. Zamjenjuje tekstom „kartografskim prikazima br. 2.1. i 4.“.</w:t>
      </w:r>
    </w:p>
    <w:p w14:paraId="07CBB68C" w14:textId="77777777" w:rsidR="005A3D73" w:rsidRPr="00DB3EE3" w:rsidRDefault="005A3D73" w:rsidP="00EC4BCD">
      <w:pPr>
        <w:shd w:val="clear" w:color="auto" w:fill="FFFFFF"/>
        <w:spacing w:after="120" w:line="276" w:lineRule="auto"/>
        <w:rPr>
          <w:rFonts w:eastAsia="Times New Roman" w:cs="Arial"/>
          <w:szCs w:val="20"/>
          <w:lang w:eastAsia="hr-HR"/>
        </w:rPr>
      </w:pPr>
    </w:p>
    <w:p w14:paraId="4617BE4B" w14:textId="7937BB9C"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lastRenderedPageBreak/>
        <w:t>Članak 10.</w:t>
      </w:r>
    </w:p>
    <w:p w14:paraId="32FD86FD" w14:textId="599CB91A"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Iza članka 26. dodaje se novi članak 26a koji glasi:</w:t>
      </w:r>
    </w:p>
    <w:p w14:paraId="57409DA0" w14:textId="5A916488" w:rsidR="001A5428"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w:t>
      </w:r>
      <w:r w:rsidR="001A5428" w:rsidRPr="00DB3EE3">
        <w:rPr>
          <w:rFonts w:eastAsia="Times New Roman" w:cs="Arial"/>
          <w:szCs w:val="20"/>
          <w:lang w:eastAsia="hr-HR"/>
        </w:rPr>
        <w:t>Članak 26a</w:t>
      </w:r>
    </w:p>
    <w:p w14:paraId="4BE9CEF7" w14:textId="23E04CE7" w:rsidR="001A5428" w:rsidRPr="00DB3EE3" w:rsidRDefault="003F0BEB" w:rsidP="00EC4BCD">
      <w:pPr>
        <w:pStyle w:val="Odlomakpopisa"/>
        <w:shd w:val="clear" w:color="auto" w:fill="FFFFFF"/>
        <w:spacing w:after="120" w:line="276" w:lineRule="auto"/>
        <w:ind w:left="360"/>
        <w:rPr>
          <w:rFonts w:eastAsia="Times New Roman" w:cs="Arial"/>
          <w:szCs w:val="20"/>
          <w:lang w:eastAsia="hr-HR"/>
        </w:rPr>
      </w:pPr>
      <w:r w:rsidRPr="00DB3EE3">
        <w:rPr>
          <w:rFonts w:eastAsia="Times New Roman" w:cs="Arial"/>
          <w:szCs w:val="20"/>
          <w:lang w:eastAsia="hr-HR"/>
        </w:rPr>
        <w:t>Novu elektroničku komunikacijsku infrastrukturu za pružanje javne komunikacijske usluge putem elektromagnetskih valova, bez korištenja vodova, moguće je postavljanjem antenskog sustava na antenskim prihvatima na izgrađenim građevinama i rešetkastim i /ili jednocjevnim stupovima bez detaljnog definiranja lokacija, vodeći računa o mogućnostima pokrivanja tih područja radijskim signalom koji će se emitirati antenskim sustavom smještenim na antenske prihvate (zgrade i/ili stupove) uz načelo zajedničkog korištenja od strane svih operatera gdje je to moguće.</w:t>
      </w:r>
      <w:r w:rsidR="005A3D73" w:rsidRPr="00DB3EE3">
        <w:rPr>
          <w:rFonts w:eastAsia="Times New Roman" w:cs="Arial"/>
          <w:szCs w:val="20"/>
          <w:lang w:eastAsia="hr-HR"/>
        </w:rPr>
        <w:t>“</w:t>
      </w:r>
    </w:p>
    <w:p w14:paraId="34A8D72F" w14:textId="77777777" w:rsidR="001A5428" w:rsidRPr="00DB3EE3" w:rsidRDefault="001A5428" w:rsidP="00EC4BCD">
      <w:pPr>
        <w:shd w:val="clear" w:color="auto" w:fill="FFFFFF"/>
        <w:spacing w:after="120" w:line="276" w:lineRule="auto"/>
        <w:rPr>
          <w:rFonts w:eastAsia="Times New Roman" w:cs="Arial"/>
          <w:szCs w:val="20"/>
          <w:lang w:eastAsia="hr-HR"/>
        </w:rPr>
      </w:pPr>
    </w:p>
    <w:p w14:paraId="7AD472FA" w14:textId="5A698FBA"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11.</w:t>
      </w:r>
    </w:p>
    <w:p w14:paraId="23AF08D7" w14:textId="450E3FEE"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27. mijenja se i glasi:</w:t>
      </w:r>
    </w:p>
    <w:p w14:paraId="36B35CCC" w14:textId="12DECA7D" w:rsidR="00972DBC"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„(1) </w:t>
      </w:r>
      <w:r w:rsidR="00972DBC" w:rsidRPr="00DB3EE3">
        <w:rPr>
          <w:rFonts w:eastAsia="Times New Roman" w:cs="Arial"/>
          <w:szCs w:val="20"/>
          <w:lang w:eastAsia="hr-HR"/>
        </w:rPr>
        <w:t>Gradnju vodoopskrbnih cjevovoda i ostalih elemenata sustava opskrbe vodom treba izvesti u skladu s</w:t>
      </w:r>
      <w:r w:rsidR="008A4239" w:rsidRPr="00DB3EE3">
        <w:rPr>
          <w:rFonts w:eastAsia="Times New Roman" w:cs="Arial"/>
          <w:szCs w:val="20"/>
          <w:lang w:eastAsia="hr-HR"/>
        </w:rPr>
        <w:t xml:space="preserve"> projektnom dokumentacijom „Gradnja sustava odvodnje otpadnih voda i crpne stanice, te gradnja vodovoda u sklopu podsustava Podhum PH2“</w:t>
      </w:r>
      <w:r w:rsidR="00972DBC" w:rsidRPr="00DB3EE3">
        <w:rPr>
          <w:rFonts w:eastAsia="Times New Roman" w:cs="Arial"/>
          <w:szCs w:val="20"/>
          <w:lang w:eastAsia="hr-HR"/>
        </w:rPr>
        <w:t xml:space="preserve"> i kartografskim prikazom br. 2.2. »Vodoopskrba i odvodnja otpadnih voda«.</w:t>
      </w:r>
    </w:p>
    <w:p w14:paraId="19FBC12C" w14:textId="493BC0D8" w:rsidR="00972DBC"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972DBC" w:rsidRPr="00DB3EE3">
        <w:rPr>
          <w:rFonts w:eastAsia="Times New Roman" w:cs="Arial"/>
          <w:szCs w:val="20"/>
          <w:lang w:eastAsia="hr-HR"/>
        </w:rPr>
        <w:t xml:space="preserve">Vodoopskrba korisnika unutar obuhvata Plana </w:t>
      </w:r>
      <w:r w:rsidR="008A4239" w:rsidRPr="00DB3EE3">
        <w:rPr>
          <w:rFonts w:eastAsia="Times New Roman" w:cs="Arial"/>
          <w:szCs w:val="20"/>
          <w:lang w:eastAsia="hr-HR"/>
        </w:rPr>
        <w:t xml:space="preserve">vrši se iz </w:t>
      </w:r>
      <w:r w:rsidR="00972DBC" w:rsidRPr="00DB3EE3">
        <w:rPr>
          <w:rFonts w:eastAsia="Times New Roman" w:cs="Arial"/>
          <w:szCs w:val="20"/>
          <w:lang w:eastAsia="hr-HR"/>
        </w:rPr>
        <w:t>postojeć</w:t>
      </w:r>
      <w:r w:rsidR="008A4239" w:rsidRPr="00DB3EE3">
        <w:rPr>
          <w:rFonts w:eastAsia="Times New Roman" w:cs="Arial"/>
          <w:szCs w:val="20"/>
          <w:lang w:eastAsia="hr-HR"/>
        </w:rPr>
        <w:t>e</w:t>
      </w:r>
      <w:r w:rsidR="00972DBC" w:rsidRPr="00DB3EE3">
        <w:rPr>
          <w:rFonts w:eastAsia="Times New Roman" w:cs="Arial"/>
          <w:szCs w:val="20"/>
          <w:lang w:eastAsia="hr-HR"/>
        </w:rPr>
        <w:t xml:space="preserve"> VS »Vojskovo« zapremine 3500 m</w:t>
      </w:r>
      <w:r w:rsidR="00972DBC" w:rsidRPr="00DB3EE3">
        <w:rPr>
          <w:rFonts w:eastAsia="Times New Roman" w:cs="Arial"/>
          <w:szCs w:val="20"/>
          <w:vertAlign w:val="superscript"/>
          <w:lang w:eastAsia="hr-HR"/>
        </w:rPr>
        <w:t>3</w:t>
      </w:r>
      <w:r w:rsidR="00972DBC" w:rsidRPr="00DB3EE3">
        <w:rPr>
          <w:rFonts w:eastAsia="Times New Roman" w:cs="Arial"/>
          <w:szCs w:val="20"/>
          <w:lang w:eastAsia="hr-HR"/>
        </w:rPr>
        <w:t>.</w:t>
      </w:r>
      <w:r w:rsidRPr="00DB3EE3">
        <w:rPr>
          <w:rFonts w:eastAsia="Times New Roman" w:cs="Arial"/>
          <w:szCs w:val="20"/>
          <w:lang w:eastAsia="hr-HR"/>
        </w:rPr>
        <w:t>“</w:t>
      </w:r>
    </w:p>
    <w:p w14:paraId="773B936C" w14:textId="77777777" w:rsidR="00FC401A" w:rsidRPr="00DB3EE3" w:rsidRDefault="00FC401A" w:rsidP="00EC4BCD">
      <w:pPr>
        <w:shd w:val="clear" w:color="auto" w:fill="FFFFFF"/>
        <w:spacing w:after="120" w:line="276" w:lineRule="auto"/>
        <w:rPr>
          <w:rFonts w:eastAsia="Times New Roman" w:cs="Arial"/>
          <w:szCs w:val="20"/>
          <w:lang w:eastAsia="hr-HR"/>
        </w:rPr>
      </w:pPr>
    </w:p>
    <w:p w14:paraId="369C8ECD" w14:textId="1B33BD31"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12.</w:t>
      </w:r>
    </w:p>
    <w:p w14:paraId="55CCB9B5" w14:textId="6F44D043" w:rsidR="00972DBC"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30. mijenja se i glasi:</w:t>
      </w:r>
    </w:p>
    <w:p w14:paraId="74F66097" w14:textId="2AEDCD01" w:rsidR="00972DBC" w:rsidRPr="00DB3EE3" w:rsidRDefault="00972DBC" w:rsidP="00EC4BCD">
      <w:pPr>
        <w:pStyle w:val="Odlomakpopisa"/>
        <w:numPr>
          <w:ilvl w:val="0"/>
          <w:numId w:val="24"/>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Elementi sustava odvodnje otpadnih voda trebaju se izvesti u skladu s </w:t>
      </w:r>
      <w:r w:rsidR="00CE738D" w:rsidRPr="00DB3EE3">
        <w:rPr>
          <w:rFonts w:eastAsia="Times New Roman" w:cs="Arial"/>
          <w:szCs w:val="20"/>
          <w:lang w:eastAsia="hr-HR"/>
        </w:rPr>
        <w:t>projektnom dokumentacijom „Gradnja sustava odvodnje otpadnih voda i crpne stanice, te gradnja vodovoda u sklopu podsustava Podhum PH2</w:t>
      </w:r>
      <w:r w:rsidRPr="00DB3EE3">
        <w:rPr>
          <w:rFonts w:eastAsia="Times New Roman" w:cs="Arial"/>
          <w:szCs w:val="20"/>
          <w:lang w:eastAsia="hr-HR"/>
        </w:rPr>
        <w:t>.</w:t>
      </w:r>
    </w:p>
    <w:p w14:paraId="2AE46F14" w14:textId="7FDE6EC9" w:rsidR="00972DBC" w:rsidRPr="00DB3EE3" w:rsidRDefault="00972DBC" w:rsidP="00EC4BCD">
      <w:pPr>
        <w:pStyle w:val="Odlomakpopisa"/>
        <w:numPr>
          <w:ilvl w:val="0"/>
          <w:numId w:val="24"/>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Planirani sustav odvodnje za područje obuhvata Plana je razdjelnog tipa. Odvodnju otpadnih sanitarnih, tehnoloških i oborinskih voda, treba provesti prema Odluci o </w:t>
      </w:r>
      <w:r w:rsidR="00CE738D" w:rsidRPr="00DB3EE3">
        <w:rPr>
          <w:rFonts w:eastAsia="Times New Roman" w:cs="Arial"/>
          <w:szCs w:val="20"/>
          <w:lang w:eastAsia="hr-HR"/>
        </w:rPr>
        <w:t xml:space="preserve">odvodnji otpadnih voda na području aglomeracije Rijeka </w:t>
      </w:r>
      <w:r w:rsidR="002760B8" w:rsidRPr="00DB3EE3">
        <w:rPr>
          <w:rFonts w:eastAsia="Times New Roman" w:cs="Arial"/>
          <w:szCs w:val="20"/>
          <w:lang w:eastAsia="hr-HR"/>
        </w:rPr>
        <w:t>s odvođenjem otpadnih voda izvan II zone sanitarne zaštite</w:t>
      </w:r>
      <w:r w:rsidR="00FC401A" w:rsidRPr="00DB3EE3">
        <w:rPr>
          <w:rFonts w:eastAsia="Times New Roman" w:cs="Arial"/>
          <w:szCs w:val="20"/>
          <w:lang w:eastAsia="hr-HR"/>
        </w:rPr>
        <w:t>.</w:t>
      </w:r>
    </w:p>
    <w:p w14:paraId="5BC148A0" w14:textId="751E98AC" w:rsidR="00FC401A" w:rsidRPr="00DB3EE3" w:rsidRDefault="00995C31" w:rsidP="00EC4BCD">
      <w:pPr>
        <w:pStyle w:val="Odlomakpopisa"/>
        <w:numPr>
          <w:ilvl w:val="0"/>
          <w:numId w:val="24"/>
        </w:numPr>
        <w:shd w:val="clear" w:color="auto" w:fill="FFFFFF"/>
        <w:spacing w:after="120" w:line="276" w:lineRule="auto"/>
        <w:rPr>
          <w:rFonts w:eastAsia="Times New Roman" w:cs="Arial"/>
          <w:szCs w:val="20"/>
          <w:lang w:eastAsia="hr-HR"/>
        </w:rPr>
      </w:pPr>
      <w:r w:rsidRPr="00DB3EE3">
        <w:rPr>
          <w:szCs w:val="20"/>
        </w:rPr>
        <w:t>Sve građevine moraju se priključiti na sustav javne odvodnje. U iznimnim slučajevima, kada je priključenje na sustav javne odvodnje otežano i zahtijeva velike materijalne troškove, otpadne vode iz građevina u vlasništvu pravnih i fizičkih osoba moguće je rješavati na vlastitom uređaju visokog stupnja pročišćavanja te pročišćene otpadne vode ponovno koristiti odnosno ispustiti neizravno u podzemne vode procjeđivanjem kroz tlo putem upojnih građevina. Pročišćene otpadne vode moguće je ispuštati samo uz prethodno detaljno utvrđivanje značajki tla i hidrogeoloških značajki područja ispusta.</w:t>
      </w:r>
    </w:p>
    <w:p w14:paraId="2B20EBA8" w14:textId="77777777" w:rsidR="00995C31" w:rsidRPr="00DB3EE3" w:rsidRDefault="00995C31" w:rsidP="00EC4BCD">
      <w:pPr>
        <w:shd w:val="clear" w:color="auto" w:fill="FFFFFF"/>
        <w:spacing w:after="120" w:line="276" w:lineRule="auto"/>
        <w:rPr>
          <w:rFonts w:eastAsia="Times New Roman" w:cs="Arial"/>
          <w:szCs w:val="20"/>
          <w:lang w:eastAsia="hr-HR"/>
        </w:rPr>
      </w:pPr>
    </w:p>
    <w:p w14:paraId="0C8D9BFA" w14:textId="36BE4200"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13.</w:t>
      </w:r>
    </w:p>
    <w:p w14:paraId="036C7BD9" w14:textId="0413C113"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31. mijenja se i glasi:</w:t>
      </w:r>
    </w:p>
    <w:p w14:paraId="69B68EC3" w14:textId="42AA5B2A" w:rsidR="00972DBC"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„(1) </w:t>
      </w:r>
      <w:r w:rsidR="00972DBC" w:rsidRPr="00DB3EE3">
        <w:rPr>
          <w:rFonts w:eastAsia="Times New Roman" w:cs="Arial"/>
          <w:szCs w:val="20"/>
          <w:lang w:eastAsia="hr-HR"/>
        </w:rPr>
        <w:t xml:space="preserve">Sanitarno-potrošne otpadne vode (fekalne otpadne vode od zaposlenika, korisnika), te izdvojeni najzagađeniji dio vode od pranja natkrivenih radnih i manipulativnih površina i dio tehnoloških otpadnih voda, zbrinjavati će se </w:t>
      </w:r>
      <w:r w:rsidR="00975DDD" w:rsidRPr="00DB3EE3">
        <w:rPr>
          <w:rFonts w:eastAsia="Times New Roman" w:cs="Arial"/>
          <w:szCs w:val="20"/>
          <w:lang w:eastAsia="hr-HR"/>
        </w:rPr>
        <w:t>po izradi sustava odvodnje iz članka 30. stavak (2)</w:t>
      </w:r>
      <w:r w:rsidR="00972DBC" w:rsidRPr="00DB3EE3">
        <w:rPr>
          <w:rFonts w:eastAsia="Times New Roman" w:cs="Arial"/>
          <w:szCs w:val="20"/>
          <w:lang w:eastAsia="hr-HR"/>
        </w:rPr>
        <w:t>.</w:t>
      </w:r>
    </w:p>
    <w:p w14:paraId="1B8FB21F" w14:textId="353AFD82" w:rsidR="00972DBC" w:rsidRPr="00DB3EE3" w:rsidRDefault="005A3D73" w:rsidP="00EC4BCD">
      <w:pPr>
        <w:shd w:val="clear" w:color="auto" w:fill="FFFFFF"/>
        <w:spacing w:after="120" w:line="276" w:lineRule="auto"/>
        <w:rPr>
          <w:rFonts w:eastAsia="Times New Roman" w:cs="Arial"/>
          <w:szCs w:val="20"/>
          <w:lang w:eastAsia="hr-HR"/>
        </w:rPr>
      </w:pPr>
      <w:r w:rsidRPr="00DB3EE3">
        <w:rPr>
          <w:szCs w:val="20"/>
        </w:rPr>
        <w:t xml:space="preserve">(2) </w:t>
      </w:r>
      <w:r w:rsidR="00F064D8" w:rsidRPr="00DB3EE3">
        <w:rPr>
          <w:szCs w:val="20"/>
        </w:rPr>
        <w:t>Do izgradnje javnih sustava odvodnje iz članka 30. stavak (2) otpadne vode građevina s opterećenjem do 10 ES (do 2 m</w:t>
      </w:r>
      <w:r w:rsidR="00F064D8" w:rsidRPr="00DB3EE3">
        <w:rPr>
          <w:szCs w:val="20"/>
          <w:vertAlign w:val="superscript"/>
        </w:rPr>
        <w:t>3</w:t>
      </w:r>
      <w:r w:rsidR="00F064D8" w:rsidRPr="00DB3EE3">
        <w:rPr>
          <w:szCs w:val="20"/>
        </w:rPr>
        <w:t>/dan) iznimno je moguće zbrinjavati u nepropusnoj sabirnoj jami.</w:t>
      </w:r>
    </w:p>
    <w:p w14:paraId="0FA291B8" w14:textId="70FC90C2" w:rsidR="00972DBC"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(3) </w:t>
      </w:r>
      <w:r w:rsidR="00972DBC" w:rsidRPr="00DB3EE3">
        <w:rPr>
          <w:rFonts w:eastAsia="Times New Roman" w:cs="Arial"/>
          <w:szCs w:val="20"/>
          <w:lang w:eastAsia="hr-HR"/>
        </w:rPr>
        <w:t>Nakon izgradnje planirane javne kanalizacijske mreže, interna kanalizacijska mreža</w:t>
      </w:r>
      <w:r w:rsidR="00975DDD" w:rsidRPr="00DB3EE3">
        <w:rPr>
          <w:rFonts w:eastAsia="Times New Roman" w:cs="Arial"/>
          <w:szCs w:val="20"/>
          <w:lang w:eastAsia="hr-HR"/>
        </w:rPr>
        <w:t xml:space="preserve"> postojeće građevine</w:t>
      </w:r>
      <w:r w:rsidR="00972DBC" w:rsidRPr="00DB3EE3">
        <w:rPr>
          <w:rFonts w:eastAsia="Times New Roman" w:cs="Arial"/>
          <w:szCs w:val="20"/>
          <w:lang w:eastAsia="hr-HR"/>
        </w:rPr>
        <w:t xml:space="preserve"> </w:t>
      </w:r>
      <w:r w:rsidR="00975DDD" w:rsidRPr="00DB3EE3">
        <w:rPr>
          <w:rFonts w:eastAsia="Times New Roman" w:cs="Arial"/>
          <w:szCs w:val="20"/>
          <w:lang w:eastAsia="hr-HR"/>
        </w:rPr>
        <w:t xml:space="preserve">mora </w:t>
      </w:r>
      <w:r w:rsidR="00972DBC" w:rsidRPr="00DB3EE3">
        <w:rPr>
          <w:rFonts w:eastAsia="Times New Roman" w:cs="Arial"/>
          <w:szCs w:val="20"/>
          <w:lang w:eastAsia="hr-HR"/>
        </w:rPr>
        <w:t>se priključiti na javnu kanalizacijsku mrežu</w:t>
      </w:r>
      <w:r w:rsidRPr="00DB3EE3">
        <w:rPr>
          <w:rFonts w:eastAsia="Times New Roman" w:cs="Arial"/>
          <w:szCs w:val="20"/>
          <w:lang w:eastAsia="hr-HR"/>
        </w:rPr>
        <w:t>.“</w:t>
      </w:r>
    </w:p>
    <w:p w14:paraId="0B05A6B5" w14:textId="77777777" w:rsidR="00FC401A" w:rsidRPr="00DB3EE3" w:rsidRDefault="00FC401A" w:rsidP="00EC4BCD">
      <w:pPr>
        <w:shd w:val="clear" w:color="auto" w:fill="FFFFFF"/>
        <w:spacing w:after="120" w:line="276" w:lineRule="auto"/>
        <w:rPr>
          <w:rFonts w:eastAsia="Times New Roman" w:cs="Arial"/>
          <w:szCs w:val="20"/>
          <w:lang w:eastAsia="hr-HR"/>
        </w:rPr>
      </w:pPr>
    </w:p>
    <w:p w14:paraId="50BC0A5C" w14:textId="4031ACA8" w:rsidR="00FC401A"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14.</w:t>
      </w:r>
    </w:p>
    <w:p w14:paraId="06345BCA" w14:textId="605B2062"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34. briše se.</w:t>
      </w:r>
    </w:p>
    <w:p w14:paraId="68293163" w14:textId="77777777" w:rsidR="00FC401A" w:rsidRPr="00DB3EE3" w:rsidRDefault="00FC401A" w:rsidP="00EC4BCD">
      <w:pPr>
        <w:shd w:val="clear" w:color="auto" w:fill="FFFFFF"/>
        <w:spacing w:after="120" w:line="276" w:lineRule="auto"/>
        <w:rPr>
          <w:rFonts w:eastAsia="Times New Roman" w:cs="Arial"/>
          <w:szCs w:val="20"/>
          <w:lang w:eastAsia="hr-HR"/>
        </w:rPr>
      </w:pPr>
    </w:p>
    <w:p w14:paraId="5B80849D" w14:textId="59791F85"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15.</w:t>
      </w:r>
    </w:p>
    <w:p w14:paraId="606A7284" w14:textId="3ED325CE"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35. mijenja se i glasi:</w:t>
      </w:r>
    </w:p>
    <w:p w14:paraId="6C0FCB4B" w14:textId="0C4F0059" w:rsidR="00F064D8"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w:t>
      </w:r>
      <w:r w:rsidR="00972DBC" w:rsidRPr="00DB3EE3">
        <w:rPr>
          <w:rFonts w:eastAsia="Times New Roman" w:cs="Arial"/>
          <w:szCs w:val="20"/>
          <w:lang w:eastAsia="hr-HR"/>
        </w:rPr>
        <w:t>Odvodnja oborinskih voda s prometnih parkirnih i manipulativnih površina rješava se odvodnjom preko zasebne mreže i zasebnog uređaja za pročišćavanje te upojnih građevina</w:t>
      </w:r>
      <w:r w:rsidR="00F064D8" w:rsidRPr="00DB3EE3">
        <w:rPr>
          <w:rFonts w:eastAsia="Times New Roman" w:cs="Arial"/>
          <w:szCs w:val="20"/>
          <w:lang w:eastAsia="hr-HR"/>
        </w:rPr>
        <w:t xml:space="preserve">, a sukladno mjerama zaštite Odluke o </w:t>
      </w:r>
      <w:r w:rsidR="00F064D8" w:rsidRPr="00DB3EE3">
        <w:rPr>
          <w:szCs w:val="20"/>
        </w:rPr>
        <w:t>zaštiti izvorišta vode za piće u slivu izvora u Gradu Rijeci i slivu izvora u Bakarskom zaljevu</w:t>
      </w:r>
      <w:r w:rsidR="00972DBC" w:rsidRPr="00DB3EE3">
        <w:rPr>
          <w:rFonts w:eastAsia="Times New Roman" w:cs="Arial"/>
          <w:szCs w:val="20"/>
          <w:lang w:eastAsia="hr-HR"/>
        </w:rPr>
        <w:t>.</w:t>
      </w:r>
      <w:r w:rsidRPr="00DB3EE3">
        <w:rPr>
          <w:rFonts w:eastAsia="Times New Roman" w:cs="Arial"/>
          <w:szCs w:val="20"/>
          <w:lang w:eastAsia="hr-HR"/>
        </w:rPr>
        <w:t>“</w:t>
      </w:r>
    </w:p>
    <w:p w14:paraId="1E058207" w14:textId="77777777" w:rsidR="00FC401A" w:rsidRPr="00DB3EE3" w:rsidRDefault="00FC401A" w:rsidP="00EC4BCD">
      <w:pPr>
        <w:shd w:val="clear" w:color="auto" w:fill="FFFFFF"/>
        <w:spacing w:after="120" w:line="276" w:lineRule="auto"/>
        <w:rPr>
          <w:rFonts w:eastAsia="Times New Roman" w:cs="Arial"/>
          <w:szCs w:val="20"/>
          <w:lang w:eastAsia="hr-HR"/>
        </w:rPr>
      </w:pPr>
    </w:p>
    <w:p w14:paraId="50DDFAC3" w14:textId="4EB9FC7D"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16.</w:t>
      </w:r>
    </w:p>
    <w:p w14:paraId="4A52D3D1" w14:textId="1F1355B7"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36. briše se stavak (2).</w:t>
      </w:r>
    </w:p>
    <w:p w14:paraId="05DFF693" w14:textId="77777777" w:rsidR="005A3D73" w:rsidRPr="00DB3EE3" w:rsidRDefault="005A3D73" w:rsidP="00EC4BCD">
      <w:pPr>
        <w:shd w:val="clear" w:color="auto" w:fill="FFFFFF"/>
        <w:spacing w:after="120" w:line="276" w:lineRule="auto"/>
        <w:rPr>
          <w:rFonts w:eastAsia="Times New Roman" w:cs="Arial"/>
          <w:szCs w:val="20"/>
          <w:lang w:eastAsia="hr-HR"/>
        </w:rPr>
      </w:pPr>
    </w:p>
    <w:p w14:paraId="1D9384C6" w14:textId="79294C9E"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17.</w:t>
      </w:r>
    </w:p>
    <w:p w14:paraId="3BE1285D" w14:textId="0519C72A" w:rsidR="005A3D73"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37. dodaje se novi stavak (2) koji glasi:</w:t>
      </w:r>
    </w:p>
    <w:p w14:paraId="1AEBD0AB" w14:textId="24B65C15" w:rsidR="00BD4A66"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BD4A66" w:rsidRPr="00DB3EE3">
        <w:rPr>
          <w:rFonts w:eastAsia="Times New Roman" w:cs="Arial"/>
          <w:szCs w:val="20"/>
          <w:lang w:eastAsia="hr-HR"/>
        </w:rPr>
        <w:t>U kartografskom prikazu 2c trase 20 kV i NN kabela ucrtane su načelno.</w:t>
      </w:r>
      <w:r w:rsidRPr="00DB3EE3">
        <w:rPr>
          <w:rFonts w:eastAsia="Times New Roman" w:cs="Arial"/>
          <w:szCs w:val="20"/>
          <w:lang w:eastAsia="hr-HR"/>
        </w:rPr>
        <w:t>“</w:t>
      </w:r>
    </w:p>
    <w:p w14:paraId="0C0F5F32" w14:textId="77777777" w:rsidR="00FC401A" w:rsidRPr="00DB3EE3" w:rsidRDefault="00FC401A" w:rsidP="00EC4BCD">
      <w:pPr>
        <w:shd w:val="clear" w:color="auto" w:fill="FFFFFF"/>
        <w:spacing w:after="120" w:line="276" w:lineRule="auto"/>
        <w:rPr>
          <w:rFonts w:eastAsia="Times New Roman" w:cs="Arial"/>
          <w:szCs w:val="20"/>
          <w:lang w:eastAsia="hr-HR"/>
        </w:rPr>
      </w:pPr>
    </w:p>
    <w:p w14:paraId="781DB8D0" w14:textId="65C5A7C5" w:rsidR="00FC401A" w:rsidRPr="00DB3EE3" w:rsidRDefault="005A3D73"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18.</w:t>
      </w:r>
    </w:p>
    <w:p w14:paraId="319D2360" w14:textId="05C36E92" w:rsidR="005A3D73" w:rsidRPr="00DB3EE3" w:rsidRDefault="009D36C1" w:rsidP="00EC4BCD">
      <w:pPr>
        <w:pStyle w:val="Odlomakpopisa"/>
        <w:numPr>
          <w:ilvl w:val="0"/>
          <w:numId w:val="46"/>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39. stavak (1) mijenja se i glasi:</w:t>
      </w:r>
    </w:p>
    <w:p w14:paraId="7894E407" w14:textId="2841E845"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„(1) Građevinske čestice, unutar obuhvata ovog Plana, namijenjene za trafostanicu su čestice označene brojevima 6 i 7 te se trebaju izvesti prema karti 4 »Uvjeti gradnje« iz grafičkog dijela ovog Plana.“</w:t>
      </w:r>
    </w:p>
    <w:p w14:paraId="5EF74674" w14:textId="48E1E25C" w:rsidR="009D36C1" w:rsidRPr="00DB3EE3" w:rsidRDefault="009D36C1" w:rsidP="00EC4BCD">
      <w:pPr>
        <w:pStyle w:val="Odlomakpopisa"/>
        <w:numPr>
          <w:ilvl w:val="0"/>
          <w:numId w:val="46"/>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39. stavak (2) se briše.</w:t>
      </w:r>
    </w:p>
    <w:p w14:paraId="03FF3B72" w14:textId="36F30253" w:rsidR="009D36C1" w:rsidRPr="00DB3EE3" w:rsidRDefault="009D36C1" w:rsidP="00EC4BCD">
      <w:pPr>
        <w:pStyle w:val="Odlomakpopisa"/>
        <w:numPr>
          <w:ilvl w:val="0"/>
          <w:numId w:val="46"/>
        </w:num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39. postojeće stavke (3), (4), (5) postaju stavke (2), (3), (4).</w:t>
      </w:r>
    </w:p>
    <w:p w14:paraId="52472967" w14:textId="77777777" w:rsidR="00FC401A" w:rsidRPr="00DB3EE3" w:rsidRDefault="00FC401A" w:rsidP="00EC4BCD">
      <w:pPr>
        <w:shd w:val="clear" w:color="auto" w:fill="FFFFFF"/>
        <w:spacing w:after="120" w:line="276" w:lineRule="auto"/>
        <w:rPr>
          <w:rFonts w:eastAsia="Times New Roman" w:cs="Arial"/>
          <w:szCs w:val="20"/>
          <w:lang w:eastAsia="hr-HR"/>
        </w:rPr>
      </w:pPr>
    </w:p>
    <w:p w14:paraId="6765E539" w14:textId="72411B75"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19.</w:t>
      </w:r>
    </w:p>
    <w:p w14:paraId="68C74923" w14:textId="1C726C9A"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43.a stavak (2) navod imena kartografskog prikaza mijenja se i glasi: „2.3. Energetski susta“.</w:t>
      </w:r>
    </w:p>
    <w:p w14:paraId="2ADCF089" w14:textId="77777777" w:rsidR="009D36C1" w:rsidRPr="00DB3EE3" w:rsidRDefault="009D36C1" w:rsidP="00EC4BCD">
      <w:pPr>
        <w:shd w:val="clear" w:color="auto" w:fill="FFFFFF"/>
        <w:spacing w:after="120" w:line="276" w:lineRule="auto"/>
        <w:rPr>
          <w:rFonts w:eastAsia="Times New Roman" w:cs="Arial"/>
          <w:szCs w:val="20"/>
          <w:lang w:eastAsia="hr-HR"/>
        </w:rPr>
      </w:pPr>
    </w:p>
    <w:p w14:paraId="3E8F6823" w14:textId="61404591"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Članak 20. </w:t>
      </w:r>
    </w:p>
    <w:p w14:paraId="61FB6B87" w14:textId="4E56CD2E"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U članku 50. mijenja se numerološka oznaka stavaka:</w:t>
      </w:r>
    </w:p>
    <w:p w14:paraId="54CABDCA" w14:textId="3591EBD0"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„(1) </w:t>
      </w:r>
      <w:r w:rsidR="00972DBC" w:rsidRPr="00DB3EE3">
        <w:rPr>
          <w:rFonts w:eastAsia="Times New Roman" w:cs="Arial"/>
          <w:szCs w:val="20"/>
          <w:lang w:eastAsia="hr-HR"/>
        </w:rPr>
        <w:t xml:space="preserve">Cjelokupni tehnološki proces pojedine djelatnosti </w:t>
      </w:r>
      <w:r w:rsidR="00FC401A" w:rsidRPr="00DB3EE3">
        <w:rPr>
          <w:rFonts w:eastAsia="Times New Roman" w:cs="Arial"/>
          <w:szCs w:val="20"/>
          <w:lang w:eastAsia="hr-HR"/>
        </w:rPr>
        <w:t>–</w:t>
      </w:r>
      <w:r w:rsidR="00972DBC" w:rsidRPr="00DB3EE3">
        <w:rPr>
          <w:rFonts w:eastAsia="Times New Roman" w:cs="Arial"/>
          <w:szCs w:val="20"/>
          <w:lang w:eastAsia="hr-HR"/>
        </w:rPr>
        <w:t xml:space="preserve"> građevne čestice mora se organizirati u zatvorenom prostoru u sklopu građevine.</w:t>
      </w:r>
    </w:p>
    <w:p w14:paraId="00DFD351" w14:textId="7FEA602A"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972DBC" w:rsidRPr="00DB3EE3">
        <w:rPr>
          <w:rFonts w:eastAsia="Times New Roman" w:cs="Arial"/>
          <w:szCs w:val="20"/>
          <w:lang w:eastAsia="hr-HR"/>
        </w:rPr>
        <w:t xml:space="preserve">Svaka djelatnost </w:t>
      </w:r>
      <w:r w:rsidR="00FC401A" w:rsidRPr="00DB3EE3">
        <w:rPr>
          <w:rFonts w:eastAsia="Times New Roman" w:cs="Arial"/>
          <w:szCs w:val="20"/>
          <w:lang w:eastAsia="hr-HR"/>
        </w:rPr>
        <w:t>–</w:t>
      </w:r>
      <w:r w:rsidR="00972DBC" w:rsidRPr="00DB3EE3">
        <w:rPr>
          <w:rFonts w:eastAsia="Times New Roman" w:cs="Arial"/>
          <w:szCs w:val="20"/>
          <w:lang w:eastAsia="hr-HR"/>
        </w:rPr>
        <w:t xml:space="preserve"> građevna čestica koja je proizvođač tehnološkog otpada mora ga na propisan način obraditi i skladištiti. Odvoženje otpada mora biti organizirano.</w:t>
      </w:r>
    </w:p>
    <w:p w14:paraId="25BA713E" w14:textId="659A6A82"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(3) </w:t>
      </w:r>
      <w:r w:rsidR="00972DBC" w:rsidRPr="00DB3EE3">
        <w:rPr>
          <w:rFonts w:eastAsia="Times New Roman" w:cs="Arial"/>
          <w:szCs w:val="20"/>
          <w:lang w:eastAsia="hr-HR"/>
        </w:rPr>
        <w:t>Korisnik svake građevne čestice obvezan je osigurati zaštitu od požara prema važećim propisima.</w:t>
      </w:r>
      <w:r w:rsidRPr="00DB3EE3">
        <w:rPr>
          <w:rFonts w:eastAsia="Times New Roman" w:cs="Arial"/>
          <w:szCs w:val="20"/>
          <w:lang w:eastAsia="hr-HR"/>
        </w:rPr>
        <w:t>“</w:t>
      </w:r>
    </w:p>
    <w:p w14:paraId="7C970E72" w14:textId="77777777" w:rsidR="00972DBC" w:rsidRPr="00DB3EE3" w:rsidRDefault="00972DBC" w:rsidP="00EC4BCD">
      <w:pPr>
        <w:shd w:val="clear" w:color="auto" w:fill="FFFFFF"/>
        <w:spacing w:after="120" w:line="276" w:lineRule="auto"/>
        <w:jc w:val="left"/>
        <w:rPr>
          <w:rFonts w:eastAsia="Times New Roman" w:cs="Arial"/>
          <w:szCs w:val="20"/>
          <w:lang w:eastAsia="hr-HR"/>
        </w:rPr>
      </w:pPr>
    </w:p>
    <w:p w14:paraId="0825B973" w14:textId="2CE87C3B" w:rsidR="00883C7C" w:rsidRPr="00DB3EE3" w:rsidRDefault="009D36C1" w:rsidP="00EC4BCD">
      <w:p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Članak 21.</w:t>
      </w:r>
    </w:p>
    <w:p w14:paraId="107CE456" w14:textId="6BB787AA" w:rsidR="009D36C1" w:rsidRPr="00DB3EE3" w:rsidRDefault="009D36C1" w:rsidP="00EC4BCD">
      <w:pPr>
        <w:shd w:val="clear" w:color="auto" w:fill="FFFFFF"/>
        <w:spacing w:after="120" w:line="276" w:lineRule="auto"/>
        <w:jc w:val="left"/>
        <w:rPr>
          <w:rFonts w:eastAsia="Times New Roman" w:cs="Arial"/>
          <w:szCs w:val="20"/>
          <w:lang w:eastAsia="hr-HR"/>
        </w:rPr>
      </w:pPr>
      <w:r w:rsidRPr="00DB3EE3">
        <w:rPr>
          <w:rFonts w:eastAsia="Times New Roman" w:cs="Arial"/>
          <w:szCs w:val="20"/>
          <w:lang w:eastAsia="hr-HR"/>
        </w:rPr>
        <w:t>Članak 50.a mijenja se i glasi:</w:t>
      </w:r>
    </w:p>
    <w:p w14:paraId="0DA8CA15" w14:textId="52E09118"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lastRenderedPageBreak/>
        <w:t xml:space="preserve">„(1) </w:t>
      </w:r>
      <w:r w:rsidR="00972DBC" w:rsidRPr="00DB3EE3">
        <w:rPr>
          <w:rFonts w:eastAsia="Times New Roman" w:cs="Arial"/>
          <w:szCs w:val="20"/>
          <w:lang w:eastAsia="hr-HR"/>
        </w:rPr>
        <w:t xml:space="preserve">Kod projektiranja građevina na području obuhvata, </w:t>
      </w:r>
      <w:r w:rsidR="0020406B" w:rsidRPr="00DB3EE3">
        <w:rPr>
          <w:rFonts w:eastAsia="Times New Roman" w:cs="Arial"/>
          <w:szCs w:val="20"/>
          <w:lang w:eastAsia="hr-HR"/>
        </w:rPr>
        <w:t>priikom procjene ugroženosti od požara, u prikazu mjera zaštite od požara kao sastavnom dijelu projektne dokumentacije potrebno je primjenjivati odredbe Pravilnika o otpornosti na požar i drugim zahtjevima koje građevine moraju zadovoljiti u slučaju požara</w:t>
      </w:r>
      <w:r w:rsidR="00972DBC" w:rsidRPr="00DB3EE3">
        <w:rPr>
          <w:rFonts w:eastAsia="Times New Roman" w:cs="Arial"/>
          <w:szCs w:val="20"/>
          <w:lang w:eastAsia="hr-HR"/>
        </w:rPr>
        <w:t>.</w:t>
      </w:r>
    </w:p>
    <w:p w14:paraId="1F5D48BE" w14:textId="3FA0ECFD"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(2) </w:t>
      </w:r>
      <w:r w:rsidR="00972DBC" w:rsidRPr="00DB3EE3">
        <w:rPr>
          <w:rFonts w:eastAsia="Times New Roman" w:cs="Arial"/>
          <w:szCs w:val="20"/>
          <w:lang w:eastAsia="hr-HR"/>
        </w:rPr>
        <w:t xml:space="preserve">Kod određivanja međusobne udaljenosti objekata voditi računa o požarnom opterećenju objekata, intenzitetu toplinskog zračenja kroz otvore objekta, vatrootpornosti objekta i fasadnih zidova, meteorološkim uvjetima i dr. </w:t>
      </w:r>
      <w:r w:rsidR="0020406B" w:rsidRPr="00DB3EE3">
        <w:rPr>
          <w:rFonts w:eastAsia="Times New Roman" w:cs="Arial"/>
          <w:szCs w:val="20"/>
          <w:lang w:eastAsia="hr-HR"/>
        </w:rPr>
        <w:t xml:space="preserve">Ako se izvode građevine s malim požarnim opterečenjem, njihova međusobna udaljenost trebala bi biti minimalno 3,0m. Ako je jedna od susjednih građevina sa srednjim ili velikim požarnim opterečenjem, međusobna sigurnosna udaljenost određuje se proračunom. Ukoliko nije moguće postići sigurnosnu udaljenost među građevinama, potrebno je predvidjeti dodatne, pojačane mjere zaštite od požara sukladno Pravilniku o otpornosti na požar i drugim zahtjevima koje građevine moraju zadovoljiti u slučaju požara. </w:t>
      </w:r>
    </w:p>
    <w:p w14:paraId="58BC74F1" w14:textId="1FEF2C0D"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(3) </w:t>
      </w:r>
      <w:r w:rsidR="00972DBC" w:rsidRPr="00DB3EE3">
        <w:rPr>
          <w:rFonts w:eastAsia="Times New Roman" w:cs="Arial"/>
          <w:szCs w:val="20"/>
          <w:lang w:eastAsia="hr-HR"/>
        </w:rPr>
        <w:t>Kod projektiranja novih prometnica i mjesnih ulica ili rekonstrukcije postojećih obvezno je planiranje vatrogasnih pristupa koji imaju propisanu širinu, nagibe, okretišta, nosivost i radijuse zaokretanja, a sve u skladu s Pravilnikom o uvjetima za vatrogasne pristupe.</w:t>
      </w:r>
    </w:p>
    <w:p w14:paraId="50DF2C2C" w14:textId="413A6187"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(4) </w:t>
      </w:r>
      <w:r w:rsidR="00972DBC" w:rsidRPr="00DB3EE3">
        <w:rPr>
          <w:rFonts w:eastAsia="Times New Roman" w:cs="Arial"/>
          <w:szCs w:val="20"/>
          <w:lang w:eastAsia="hr-HR"/>
        </w:rPr>
        <w:t>Prilikom gradnje i rekonstrukcije vodoopskrbnih sustava obvezno je planiranje izgradnje hidratantske mreže sukladno Pravilniku o hidratantskoj mreži za gašenje požara.</w:t>
      </w:r>
    </w:p>
    <w:p w14:paraId="1CAE8009" w14:textId="76865E02"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(5) </w:t>
      </w:r>
      <w:r w:rsidR="00972DBC" w:rsidRPr="00DB3EE3">
        <w:rPr>
          <w:rFonts w:eastAsia="Times New Roman" w:cs="Arial"/>
          <w:szCs w:val="20"/>
          <w:lang w:eastAsia="hr-HR"/>
        </w:rPr>
        <w:t>Za gradnju građevina i postrojenja za skladištenje i promet zapaljivih tekućina i/ili plinova, moraju se poštivati odredbe Zakona o zapaljivim tekućinama i plinovima  i propisa donesenih na temelju njega.</w:t>
      </w:r>
    </w:p>
    <w:p w14:paraId="6D7289E5" w14:textId="5515B548" w:rsidR="00972DBC"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(6) </w:t>
      </w:r>
      <w:r w:rsidR="00972DBC" w:rsidRPr="00DB3EE3">
        <w:rPr>
          <w:rFonts w:eastAsia="Times New Roman" w:cs="Arial"/>
          <w:szCs w:val="20"/>
          <w:lang w:eastAsia="hr-HR"/>
        </w:rPr>
        <w:t xml:space="preserve">Prilikom projektiranja i gradnje </w:t>
      </w:r>
      <w:r w:rsidR="00BD1D7C" w:rsidRPr="00DB3EE3">
        <w:rPr>
          <w:rFonts w:eastAsia="Times New Roman" w:cs="Arial"/>
          <w:szCs w:val="20"/>
          <w:lang w:eastAsia="hr-HR"/>
        </w:rPr>
        <w:t xml:space="preserve">natkrivenih parkirnih mjesta i </w:t>
      </w:r>
      <w:r w:rsidR="00972DBC" w:rsidRPr="00DB3EE3">
        <w:rPr>
          <w:rFonts w:eastAsia="Times New Roman" w:cs="Arial"/>
          <w:szCs w:val="20"/>
          <w:lang w:eastAsia="hr-HR"/>
        </w:rPr>
        <w:t xml:space="preserve">garaža </w:t>
      </w:r>
      <w:r w:rsidR="00BD1D7C" w:rsidRPr="00DB3EE3">
        <w:rPr>
          <w:rFonts w:eastAsia="Times New Roman" w:cs="Arial"/>
          <w:szCs w:val="20"/>
          <w:lang w:eastAsia="hr-HR"/>
        </w:rPr>
        <w:t xml:space="preserve">s korisnom površinom većom od 15 </w:t>
      </w:r>
      <w:r w:rsidR="00972DBC" w:rsidRPr="00DB3EE3">
        <w:rPr>
          <w:rFonts w:eastAsia="Times New Roman" w:cs="Arial"/>
          <w:szCs w:val="20"/>
          <w:lang w:eastAsia="hr-HR"/>
        </w:rPr>
        <w:t>m</w:t>
      </w:r>
      <w:r w:rsidR="00972DBC" w:rsidRPr="00DB3EE3">
        <w:rPr>
          <w:rFonts w:eastAsia="Times New Roman" w:cs="Arial"/>
          <w:szCs w:val="20"/>
          <w:vertAlign w:val="superscript"/>
          <w:lang w:eastAsia="hr-HR"/>
        </w:rPr>
        <w:t>2</w:t>
      </w:r>
      <w:r w:rsidR="00BD1D7C" w:rsidRPr="00DB3EE3">
        <w:rPr>
          <w:rFonts w:eastAsia="Times New Roman" w:cs="Arial"/>
          <w:szCs w:val="20"/>
          <w:lang w:eastAsia="hr-HR"/>
        </w:rPr>
        <w:t xml:space="preserve"> primjeniti austrijske smjernice za protupožarnu zaštitu u garažama,natkrivenim parkirnim mjestima i partkirnim etažama (Austrijski institut za građevinsku tehniku (OiB) – Smjernica 2.2.)</w:t>
      </w:r>
      <w:r w:rsidR="00972DBC" w:rsidRPr="00DB3EE3">
        <w:rPr>
          <w:rFonts w:eastAsia="Times New Roman" w:cs="Arial"/>
          <w:szCs w:val="20"/>
          <w:lang w:eastAsia="hr-HR"/>
        </w:rPr>
        <w:t>,.</w:t>
      </w:r>
    </w:p>
    <w:p w14:paraId="35BB59FF" w14:textId="6A9BA9A1" w:rsidR="00972DBC" w:rsidRPr="00DB3EE3" w:rsidRDefault="0020406B" w:rsidP="00EC4BCD">
      <w:pPr>
        <w:shd w:val="clear" w:color="auto" w:fill="FFFFFF"/>
        <w:spacing w:after="120" w:line="276" w:lineRule="auto"/>
        <w:rPr>
          <w:rFonts w:eastAsia="Times New Roman" w:cs="Arial"/>
          <w:strike/>
          <w:szCs w:val="20"/>
          <w:lang w:eastAsia="hr-HR"/>
        </w:rPr>
      </w:pPr>
      <w:r w:rsidRPr="00DB3EE3">
        <w:rPr>
          <w:rFonts w:eastAsia="Times New Roman" w:cs="Arial"/>
          <w:szCs w:val="20"/>
          <w:lang w:eastAsia="hr-HR"/>
        </w:rPr>
        <w:t xml:space="preserve">(7) </w:t>
      </w:r>
      <w:r w:rsidR="00972DBC" w:rsidRPr="00DB3EE3">
        <w:rPr>
          <w:rFonts w:eastAsia="Times New Roman" w:cs="Arial"/>
          <w:szCs w:val="20"/>
          <w:lang w:eastAsia="hr-HR"/>
        </w:rPr>
        <w:t>Dosljedno se pridržavati važeće zakonske regulative i pravila tehničke prakse iz područja zaštite od požara i prijedloga tehničkih i organizacijskih mjera iz Procjene ugroženosti od požara Općine Jelenje.</w:t>
      </w:r>
    </w:p>
    <w:p w14:paraId="6F784B9F" w14:textId="2B943484" w:rsidR="00972DBC" w:rsidRPr="00DB3EE3" w:rsidRDefault="0020406B" w:rsidP="00EC4BCD">
      <w:pPr>
        <w:shd w:val="clear" w:color="auto" w:fill="FFFFFF"/>
        <w:spacing w:after="120" w:line="276" w:lineRule="auto"/>
        <w:rPr>
          <w:rFonts w:eastAsia="Times New Roman" w:cs="Arial"/>
          <w:strike/>
          <w:szCs w:val="20"/>
          <w:lang w:eastAsia="hr-HR"/>
        </w:rPr>
      </w:pPr>
      <w:r w:rsidRPr="00DB3EE3">
        <w:rPr>
          <w:rFonts w:eastAsia="Times New Roman" w:cs="Arial"/>
          <w:szCs w:val="20"/>
          <w:lang w:eastAsia="hr-HR"/>
        </w:rPr>
        <w:t xml:space="preserve">(8) </w:t>
      </w:r>
      <w:r w:rsidR="00972DBC" w:rsidRPr="00DB3EE3">
        <w:rPr>
          <w:rFonts w:eastAsia="Times New Roman" w:cs="Arial"/>
          <w:szCs w:val="20"/>
          <w:lang w:eastAsia="hr-HR"/>
        </w:rPr>
        <w:t xml:space="preserve">Temeljem </w:t>
      </w:r>
      <w:r w:rsidR="000A1CCE" w:rsidRPr="00DB3EE3">
        <w:rPr>
          <w:rFonts w:eastAsia="Times New Roman" w:cs="Arial"/>
          <w:szCs w:val="20"/>
          <w:lang w:eastAsia="hr-HR"/>
        </w:rPr>
        <w:t xml:space="preserve">Pravilnika o obveznom sadržaju i opremanju projekata građevina potrebno je </w:t>
      </w:r>
      <w:r w:rsidR="00972DBC" w:rsidRPr="00DB3EE3">
        <w:rPr>
          <w:rFonts w:eastAsia="Times New Roman" w:cs="Arial"/>
          <w:szCs w:val="20"/>
          <w:lang w:eastAsia="hr-HR"/>
        </w:rPr>
        <w:t xml:space="preserve">izraditi </w:t>
      </w:r>
      <w:r w:rsidR="000A1CCE" w:rsidRPr="00DB3EE3">
        <w:rPr>
          <w:rFonts w:eastAsia="Times New Roman" w:cs="Arial"/>
          <w:szCs w:val="20"/>
          <w:lang w:eastAsia="hr-HR"/>
        </w:rPr>
        <w:t xml:space="preserve">prikaz svih primjenjenih mjera </w:t>
      </w:r>
      <w:r w:rsidR="00972DBC" w:rsidRPr="00DB3EE3">
        <w:rPr>
          <w:rFonts w:eastAsia="Times New Roman" w:cs="Arial"/>
          <w:szCs w:val="20"/>
          <w:lang w:eastAsia="hr-HR"/>
        </w:rPr>
        <w:t>zaštite od požara za složenije građevine (građevine skupine 2)</w:t>
      </w:r>
      <w:r w:rsidR="000A1CCE" w:rsidRPr="00DB3EE3">
        <w:rPr>
          <w:rFonts w:eastAsia="Times New Roman" w:cs="Arial"/>
          <w:szCs w:val="20"/>
          <w:lang w:eastAsia="hr-HR"/>
        </w:rPr>
        <w:t xml:space="preserve"> koji minimalno mora sadržavati odredbe kao Elaborat zaštite od požara</w:t>
      </w:r>
      <w:r w:rsidR="00972DBC" w:rsidRPr="00DB3EE3">
        <w:rPr>
          <w:rFonts w:eastAsia="Times New Roman" w:cs="Arial"/>
          <w:szCs w:val="20"/>
          <w:lang w:eastAsia="hr-HR"/>
        </w:rPr>
        <w:t>.</w:t>
      </w:r>
      <w:r w:rsidR="009D36C1" w:rsidRPr="00DB3EE3">
        <w:rPr>
          <w:rFonts w:eastAsia="Times New Roman" w:cs="Arial"/>
          <w:szCs w:val="20"/>
          <w:lang w:eastAsia="hr-HR"/>
        </w:rPr>
        <w:t>“</w:t>
      </w:r>
    </w:p>
    <w:p w14:paraId="74FA179B" w14:textId="77777777" w:rsidR="00972DBC" w:rsidRPr="00DB3EE3" w:rsidRDefault="00972DBC" w:rsidP="00EC4BCD">
      <w:pPr>
        <w:shd w:val="clear" w:color="auto" w:fill="FFFFFF"/>
        <w:spacing w:after="120" w:line="276" w:lineRule="auto"/>
        <w:rPr>
          <w:rFonts w:eastAsia="Times New Roman" w:cs="Arial"/>
          <w:szCs w:val="20"/>
          <w:lang w:eastAsia="hr-HR"/>
        </w:rPr>
      </w:pPr>
    </w:p>
    <w:p w14:paraId="51F83C00" w14:textId="2A6AFC97" w:rsidR="00153995"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Članak 22.</w:t>
      </w:r>
    </w:p>
    <w:p w14:paraId="04D19EC7" w14:textId="483D9348" w:rsidR="009D36C1" w:rsidRPr="00DB3EE3" w:rsidRDefault="009D36C1" w:rsidP="00EC4BCD">
      <w:pPr>
        <w:shd w:val="clear" w:color="auto" w:fill="FFFFFF"/>
        <w:spacing w:after="120" w:line="276" w:lineRule="auto"/>
        <w:rPr>
          <w:rFonts w:eastAsia="Times New Roman" w:cs="Arial"/>
          <w:szCs w:val="20"/>
          <w:lang w:eastAsia="hr-HR"/>
        </w:rPr>
      </w:pPr>
      <w:r w:rsidRPr="00DB3EE3">
        <w:rPr>
          <w:rFonts w:eastAsia="Times New Roman" w:cs="Arial"/>
          <w:szCs w:val="20"/>
          <w:lang w:eastAsia="hr-HR"/>
        </w:rPr>
        <w:t xml:space="preserve">U članku 51. </w:t>
      </w:r>
      <w:r w:rsidR="002C195E" w:rsidRPr="00DB3EE3">
        <w:rPr>
          <w:rFonts w:eastAsia="Times New Roman" w:cs="Arial"/>
          <w:szCs w:val="20"/>
          <w:lang w:eastAsia="hr-HR"/>
        </w:rPr>
        <w:t>navod „čestici br. 2“ mijenja se u „čestici br. 3“.</w:t>
      </w:r>
    </w:p>
    <w:p w14:paraId="4301264C" w14:textId="77777777" w:rsidR="000A1CCE" w:rsidRPr="00DB3EE3" w:rsidRDefault="000A1CCE" w:rsidP="00EC4BCD">
      <w:pPr>
        <w:shd w:val="clear" w:color="auto" w:fill="FFFFFF"/>
        <w:spacing w:after="120" w:line="276" w:lineRule="auto"/>
        <w:rPr>
          <w:rFonts w:eastAsia="Times New Roman" w:cs="Arial"/>
          <w:szCs w:val="20"/>
          <w:lang w:eastAsia="hr-HR"/>
        </w:rPr>
      </w:pPr>
    </w:p>
    <w:p w14:paraId="61032FF4" w14:textId="77777777" w:rsidR="002C195E" w:rsidRPr="00DB3EE3" w:rsidRDefault="002C195E" w:rsidP="00EC4BCD">
      <w:pPr>
        <w:spacing w:after="120" w:line="276" w:lineRule="auto"/>
        <w:jc w:val="left"/>
        <w:rPr>
          <w:rFonts w:eastAsia="Times New Roman" w:cs="Arial"/>
          <w:b/>
          <w:bCs/>
          <w:szCs w:val="20"/>
          <w:lang w:eastAsia="hr-HR"/>
        </w:rPr>
      </w:pPr>
      <w:r w:rsidRPr="00DB3EE3">
        <w:rPr>
          <w:rFonts w:eastAsia="Times New Roman" w:cs="Arial"/>
          <w:b/>
          <w:bCs/>
          <w:szCs w:val="20"/>
          <w:lang w:eastAsia="hr-HR"/>
        </w:rPr>
        <w:t>III. ZAVRŠNE ODREDBE</w:t>
      </w:r>
    </w:p>
    <w:p w14:paraId="52537D8E" w14:textId="5095DCBA" w:rsidR="002C195E" w:rsidRPr="00DB3EE3" w:rsidRDefault="002C195E" w:rsidP="00EC4BCD">
      <w:pPr>
        <w:spacing w:after="120" w:line="276" w:lineRule="auto"/>
        <w:rPr>
          <w:rFonts w:eastAsia="Times New Roman" w:cs="Arial"/>
          <w:szCs w:val="20"/>
          <w:lang w:eastAsia="hr-HR"/>
        </w:rPr>
      </w:pPr>
      <w:r w:rsidRPr="00DB3EE3">
        <w:rPr>
          <w:rFonts w:eastAsia="Times New Roman" w:cs="Arial"/>
          <w:szCs w:val="20"/>
          <w:lang w:eastAsia="hr-HR"/>
        </w:rPr>
        <w:t>Članak 23.</w:t>
      </w:r>
    </w:p>
    <w:p w14:paraId="68048939" w14:textId="72347BC7" w:rsidR="002C195E" w:rsidRPr="00DB3EE3" w:rsidRDefault="002C195E" w:rsidP="00EC4BCD">
      <w:pPr>
        <w:numPr>
          <w:ilvl w:val="0"/>
          <w:numId w:val="47"/>
        </w:numPr>
        <w:spacing w:after="120" w:line="276" w:lineRule="auto"/>
        <w:contextualSpacing/>
        <w:rPr>
          <w:rFonts w:eastAsia="Times New Roman" w:cs="Arial"/>
          <w:szCs w:val="20"/>
          <w:lang w:eastAsia="hr-HR"/>
        </w:rPr>
      </w:pPr>
      <w:r w:rsidRPr="00DB3EE3">
        <w:rPr>
          <w:rFonts w:eastAsia="Times New Roman" w:cs="Arial"/>
          <w:szCs w:val="20"/>
          <w:lang w:eastAsia="hr-HR"/>
        </w:rPr>
        <w:t>Plan je izrađen u četiri (4) izvornika ovjerenih pečatom Općinskog vijeća Općine Jelenje i potpisom predsjednika Općinskog vijeća Općine Jelenje.</w:t>
      </w:r>
    </w:p>
    <w:p w14:paraId="11114B58" w14:textId="3F82D90E" w:rsidR="002C195E" w:rsidRPr="00DB3EE3" w:rsidRDefault="002C195E" w:rsidP="00EC4BCD">
      <w:pPr>
        <w:numPr>
          <w:ilvl w:val="0"/>
          <w:numId w:val="47"/>
        </w:numPr>
        <w:spacing w:after="120" w:line="276" w:lineRule="auto"/>
        <w:rPr>
          <w:rFonts w:cs="Arial"/>
          <w:szCs w:val="20"/>
        </w:rPr>
      </w:pPr>
      <w:r w:rsidRPr="00DB3EE3">
        <w:rPr>
          <w:rFonts w:cs="Arial"/>
          <w:szCs w:val="20"/>
        </w:rPr>
        <w:t xml:space="preserve">Izvornici Planova se čuvaju u pismohrani Općine Jelenje, Upravnom odjelu za prostorno uređenje, graditeljstvo i zaštitu okoliša Primorsko- goranske županije i Javnoj ustanovi Zavodu za prostorno uređenje Primorsko-goranske županije. </w:t>
      </w:r>
    </w:p>
    <w:p w14:paraId="5F841734" w14:textId="2B3DF9DD" w:rsidR="002C195E" w:rsidRPr="00DB3EE3" w:rsidRDefault="002C195E" w:rsidP="00EC4BCD">
      <w:pPr>
        <w:numPr>
          <w:ilvl w:val="0"/>
          <w:numId w:val="47"/>
        </w:numPr>
        <w:spacing w:after="120" w:line="276" w:lineRule="auto"/>
        <w:rPr>
          <w:rFonts w:cs="Arial"/>
          <w:szCs w:val="20"/>
        </w:rPr>
      </w:pPr>
      <w:r w:rsidRPr="00DB3EE3">
        <w:rPr>
          <w:rFonts w:cs="Arial"/>
          <w:szCs w:val="20"/>
        </w:rPr>
        <w:t>Ova Odluka stupa na snagu osmog dana od dana objave u »Službenim novinama Općine Jelenje“.</w:t>
      </w:r>
    </w:p>
    <w:p w14:paraId="697B147C" w14:textId="77777777" w:rsidR="002C195E" w:rsidRPr="00DB3EE3" w:rsidRDefault="002C195E" w:rsidP="00EC4BCD">
      <w:pPr>
        <w:spacing w:after="120" w:line="276" w:lineRule="auto"/>
        <w:rPr>
          <w:rFonts w:eastAsia="Times New Roman" w:cs="Arial"/>
          <w:i/>
          <w:iCs/>
          <w:szCs w:val="20"/>
          <w:lang w:eastAsia="hr-HR"/>
        </w:rPr>
      </w:pPr>
    </w:p>
    <w:p w14:paraId="31CDB6C9" w14:textId="77777777" w:rsidR="002C195E" w:rsidRPr="00DB3EE3" w:rsidRDefault="002C195E" w:rsidP="00EC4BCD">
      <w:pPr>
        <w:spacing w:after="120" w:line="276" w:lineRule="auto"/>
        <w:rPr>
          <w:rFonts w:eastAsia="Times New Roman" w:cs="Arial"/>
          <w:szCs w:val="20"/>
          <w:lang w:eastAsia="hr-HR"/>
        </w:rPr>
      </w:pPr>
      <w:r w:rsidRPr="00DB3EE3">
        <w:rPr>
          <w:rFonts w:eastAsia="Times New Roman" w:cs="Arial"/>
          <w:i/>
          <w:iCs/>
          <w:szCs w:val="20"/>
          <w:lang w:eastAsia="hr-HR"/>
        </w:rPr>
        <w:t xml:space="preserve">Klasa: </w:t>
      </w:r>
    </w:p>
    <w:p w14:paraId="3BE9F96A" w14:textId="77777777" w:rsidR="002C195E" w:rsidRPr="00DB3EE3" w:rsidRDefault="002C195E" w:rsidP="00EC4BCD">
      <w:pPr>
        <w:spacing w:after="120" w:line="276" w:lineRule="auto"/>
        <w:rPr>
          <w:rFonts w:eastAsia="Times New Roman" w:cs="Arial"/>
          <w:szCs w:val="20"/>
          <w:lang w:eastAsia="hr-HR"/>
        </w:rPr>
      </w:pPr>
      <w:r w:rsidRPr="00DB3EE3">
        <w:rPr>
          <w:rFonts w:eastAsia="Times New Roman" w:cs="Arial"/>
          <w:i/>
          <w:iCs/>
          <w:szCs w:val="20"/>
          <w:lang w:eastAsia="hr-HR"/>
        </w:rPr>
        <w:t xml:space="preserve">Ur. broj: </w:t>
      </w:r>
    </w:p>
    <w:p w14:paraId="1A121A6C" w14:textId="061ADBDA" w:rsidR="002C195E" w:rsidRPr="00DB3EE3" w:rsidRDefault="002C195E" w:rsidP="00EC4BCD">
      <w:pPr>
        <w:spacing w:after="120" w:line="276" w:lineRule="auto"/>
        <w:rPr>
          <w:rFonts w:eastAsia="Times New Roman" w:cs="Arial"/>
          <w:szCs w:val="20"/>
          <w:lang w:eastAsia="hr-HR"/>
        </w:rPr>
      </w:pPr>
      <w:r w:rsidRPr="00DB3EE3">
        <w:rPr>
          <w:rFonts w:eastAsia="Times New Roman" w:cs="Arial"/>
          <w:i/>
          <w:iCs/>
          <w:szCs w:val="20"/>
          <w:lang w:eastAsia="hr-HR"/>
        </w:rPr>
        <w:t xml:space="preserve">Dražice, </w:t>
      </w:r>
    </w:p>
    <w:p w14:paraId="438C5C94" w14:textId="003E3702" w:rsidR="002C195E" w:rsidRPr="00DB3EE3" w:rsidRDefault="002C195E" w:rsidP="00EC4BCD">
      <w:pPr>
        <w:spacing w:after="120" w:line="276" w:lineRule="auto"/>
        <w:jc w:val="center"/>
        <w:rPr>
          <w:rFonts w:eastAsia="Times New Roman" w:cs="Arial"/>
          <w:szCs w:val="20"/>
          <w:lang w:eastAsia="hr-HR"/>
        </w:rPr>
      </w:pPr>
      <w:r w:rsidRPr="00DB3EE3">
        <w:rPr>
          <w:rFonts w:eastAsia="Times New Roman" w:cs="Arial"/>
          <w:szCs w:val="20"/>
          <w:lang w:eastAsia="hr-HR"/>
        </w:rPr>
        <w:lastRenderedPageBreak/>
        <w:t>OPĆINSKO VIJEĆE OPĆINE JELENJE</w:t>
      </w:r>
    </w:p>
    <w:p w14:paraId="7AC86E35" w14:textId="2E866B7D" w:rsidR="002C195E" w:rsidRPr="00DB3EE3" w:rsidRDefault="002C195E" w:rsidP="00EC4BCD">
      <w:pPr>
        <w:spacing w:after="120" w:line="276" w:lineRule="auto"/>
        <w:jc w:val="center"/>
        <w:rPr>
          <w:rFonts w:eastAsia="Times New Roman" w:cs="Arial"/>
          <w:szCs w:val="20"/>
          <w:lang w:eastAsia="hr-HR"/>
        </w:rPr>
      </w:pPr>
      <w:r w:rsidRPr="00DB3EE3">
        <w:rPr>
          <w:rFonts w:eastAsia="Times New Roman" w:cs="Arial"/>
          <w:szCs w:val="20"/>
          <w:lang w:eastAsia="hr-HR"/>
        </w:rPr>
        <w:t>Predsjedni</w:t>
      </w:r>
      <w:r w:rsidR="00DB3EE3">
        <w:rPr>
          <w:rFonts w:eastAsia="Times New Roman" w:cs="Arial"/>
          <w:szCs w:val="20"/>
          <w:lang w:eastAsia="hr-HR"/>
        </w:rPr>
        <w:t>ca</w:t>
      </w:r>
      <w:r w:rsidRPr="00DB3EE3">
        <w:rPr>
          <w:rFonts w:eastAsia="Times New Roman" w:cs="Arial"/>
          <w:b/>
          <w:bCs/>
          <w:szCs w:val="20"/>
          <w:lang w:eastAsia="hr-HR"/>
        </w:rPr>
        <w:br/>
      </w:r>
      <w:r w:rsidR="00DB3EE3" w:rsidRPr="00DB3EE3">
        <w:rPr>
          <w:rFonts w:eastAsia="Times New Roman" w:cs="Arial"/>
          <w:b/>
          <w:bCs/>
          <w:szCs w:val="20"/>
          <w:lang w:eastAsia="hr-HR"/>
        </w:rPr>
        <w:t>Izabel</w:t>
      </w:r>
      <w:r w:rsidR="00DB3EE3">
        <w:rPr>
          <w:rFonts w:eastAsia="Times New Roman" w:cs="Arial"/>
          <w:b/>
          <w:bCs/>
          <w:szCs w:val="20"/>
          <w:lang w:eastAsia="hr-HR"/>
        </w:rPr>
        <w:t>a</w:t>
      </w:r>
      <w:r w:rsidR="00DB3EE3" w:rsidRPr="00DB3EE3">
        <w:rPr>
          <w:rFonts w:eastAsia="Times New Roman" w:cs="Arial"/>
          <w:b/>
          <w:bCs/>
          <w:szCs w:val="20"/>
          <w:lang w:eastAsia="hr-HR"/>
        </w:rPr>
        <w:t xml:space="preserve"> Nemaz</w:t>
      </w:r>
    </w:p>
    <w:p w14:paraId="7638DC4A" w14:textId="77777777" w:rsidR="002C195E" w:rsidRPr="00DB3EE3" w:rsidRDefault="002C195E" w:rsidP="00EC4BCD">
      <w:pPr>
        <w:spacing w:after="120" w:line="276" w:lineRule="auto"/>
        <w:rPr>
          <w:szCs w:val="20"/>
        </w:rPr>
      </w:pPr>
    </w:p>
    <w:p w14:paraId="4D060E52" w14:textId="77777777" w:rsidR="00972DBC" w:rsidRPr="00DB3EE3" w:rsidRDefault="00972DBC" w:rsidP="00EC4BCD">
      <w:pPr>
        <w:shd w:val="clear" w:color="auto" w:fill="FFFFFF"/>
        <w:spacing w:after="120" w:line="276" w:lineRule="auto"/>
        <w:rPr>
          <w:rFonts w:eastAsia="Times New Roman" w:cs="Arial"/>
          <w:szCs w:val="20"/>
          <w:lang w:eastAsia="hr-HR"/>
        </w:rPr>
      </w:pPr>
    </w:p>
    <w:p w14:paraId="371CF3EE" w14:textId="77777777" w:rsidR="006451E6" w:rsidRPr="00DB3EE3" w:rsidRDefault="006451E6" w:rsidP="00EC4BCD">
      <w:pPr>
        <w:spacing w:after="120" w:line="276" w:lineRule="auto"/>
      </w:pPr>
    </w:p>
    <w:sectPr w:rsidR="006451E6" w:rsidRPr="00DB3EE3">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FA216" w14:textId="77777777" w:rsidR="00194E37" w:rsidRDefault="00194E37" w:rsidP="004A2E62">
      <w:r>
        <w:separator/>
      </w:r>
    </w:p>
  </w:endnote>
  <w:endnote w:type="continuationSeparator" w:id="0">
    <w:p w14:paraId="53E9E5BD" w14:textId="77777777" w:rsidR="00194E37" w:rsidRDefault="00194E37" w:rsidP="004A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CE3D1" w14:textId="77777777" w:rsidR="004A2E62" w:rsidRPr="004A2E62" w:rsidRDefault="004A2E62" w:rsidP="004A2E62">
    <w:pPr>
      <w:widowControl w:val="0"/>
      <w:tabs>
        <w:tab w:val="center" w:pos="4536"/>
        <w:tab w:val="right" w:pos="9072"/>
      </w:tabs>
      <w:overflowPunct w:val="0"/>
      <w:autoSpaceDE w:val="0"/>
      <w:autoSpaceDN w:val="0"/>
      <w:adjustRightInd w:val="0"/>
      <w:textAlignment w:val="baseline"/>
      <w:rPr>
        <w:rFonts w:eastAsia="Times New Roman"/>
        <w:sz w:val="16"/>
        <w:szCs w:val="20"/>
        <w:lang w:val="en-GB"/>
      </w:rPr>
    </w:pPr>
  </w:p>
  <w:p w14:paraId="452C9E1F" w14:textId="77777777" w:rsidR="004A2E62" w:rsidRPr="004A2E62" w:rsidRDefault="004A2E62" w:rsidP="004A2E62">
    <w:pPr>
      <w:widowControl w:val="0"/>
      <w:tabs>
        <w:tab w:val="center" w:pos="4513"/>
        <w:tab w:val="right" w:pos="9026"/>
      </w:tabs>
      <w:overflowPunct w:val="0"/>
      <w:autoSpaceDE w:val="0"/>
      <w:autoSpaceDN w:val="0"/>
      <w:adjustRightInd w:val="0"/>
      <w:textAlignment w:val="baseline"/>
      <w:rPr>
        <w:rFonts w:eastAsia="Times New Roman"/>
        <w:szCs w:val="20"/>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DB2CF" w14:textId="77777777" w:rsidR="00194E37" w:rsidRDefault="00194E37" w:rsidP="004A2E62">
      <w:r>
        <w:separator/>
      </w:r>
    </w:p>
  </w:footnote>
  <w:footnote w:type="continuationSeparator" w:id="0">
    <w:p w14:paraId="0C2124CB" w14:textId="77777777" w:rsidR="00194E37" w:rsidRDefault="00194E37" w:rsidP="004A2E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87EBE" w14:textId="77777777" w:rsidR="004A2E62" w:rsidRPr="0037205E" w:rsidRDefault="004A2E62" w:rsidP="004A2E62">
    <w:pPr>
      <w:jc w:val="left"/>
      <w:rPr>
        <w:rFonts w:ascii="Tahoma" w:eastAsia="Times New Roman" w:hAnsi="Tahoma"/>
        <w:sz w:val="16"/>
        <w:szCs w:val="16"/>
        <w:lang w:val="pl-PL" w:eastAsia="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409A"/>
    <w:multiLevelType w:val="hybridMultilevel"/>
    <w:tmpl w:val="CFD811B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8956F67"/>
    <w:multiLevelType w:val="hybridMultilevel"/>
    <w:tmpl w:val="3670C9D2"/>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0B753180"/>
    <w:multiLevelType w:val="hybridMultilevel"/>
    <w:tmpl w:val="7A5CB87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0B822AE6"/>
    <w:multiLevelType w:val="hybridMultilevel"/>
    <w:tmpl w:val="39D051D6"/>
    <w:lvl w:ilvl="0" w:tplc="7C705276">
      <w:start w:val="1"/>
      <w:numFmt w:val="decimal"/>
      <w:lvlText w:val="(%1)"/>
      <w:lvlJc w:val="left"/>
      <w:pPr>
        <w:ind w:left="360" w:hanging="360"/>
      </w:pPr>
      <w:rPr>
        <w:rFonts w:hint="default"/>
      </w:rPr>
    </w:lvl>
    <w:lvl w:ilvl="1" w:tplc="0AB0411C">
      <w:numFmt w:val="bullet"/>
      <w:lvlText w:val="-"/>
      <w:lvlJc w:val="left"/>
      <w:pPr>
        <w:ind w:left="1080" w:hanging="360"/>
      </w:pPr>
      <w:rPr>
        <w:rFonts w:ascii="Arial" w:eastAsia="Times New Roman" w:hAnsi="Arial" w:cs="Arial"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0D1B6A78"/>
    <w:multiLevelType w:val="hybridMultilevel"/>
    <w:tmpl w:val="F2D0DAD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0EF3212A"/>
    <w:multiLevelType w:val="hybridMultilevel"/>
    <w:tmpl w:val="EEC0FD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4B534F"/>
    <w:multiLevelType w:val="hybridMultilevel"/>
    <w:tmpl w:val="91F4CF8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7" w15:restartNumberingAfterBreak="0">
    <w:nsid w:val="20981485"/>
    <w:multiLevelType w:val="hybridMultilevel"/>
    <w:tmpl w:val="D17298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2C81B0C"/>
    <w:multiLevelType w:val="hybridMultilevel"/>
    <w:tmpl w:val="8F0662F4"/>
    <w:lvl w:ilvl="0" w:tplc="4312600A">
      <w:start w:val="1"/>
      <w:numFmt w:val="decimal"/>
      <w:lvlText w:val="(%1)"/>
      <w:lvlJc w:val="left"/>
      <w:pPr>
        <w:ind w:left="360" w:hanging="360"/>
      </w:pPr>
      <w:rPr>
        <w:rFonts w:hint="default"/>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22D211B4"/>
    <w:multiLevelType w:val="hybridMultilevel"/>
    <w:tmpl w:val="98EE57F6"/>
    <w:lvl w:ilvl="0" w:tplc="02B2C3EA">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22EA2196"/>
    <w:multiLevelType w:val="hybridMultilevel"/>
    <w:tmpl w:val="AB508D8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2433678A"/>
    <w:multiLevelType w:val="hybridMultilevel"/>
    <w:tmpl w:val="ADA0830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25E33BCB"/>
    <w:multiLevelType w:val="hybridMultilevel"/>
    <w:tmpl w:val="42E8521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26C05C79"/>
    <w:multiLevelType w:val="hybridMultilevel"/>
    <w:tmpl w:val="F5A2E096"/>
    <w:lvl w:ilvl="0" w:tplc="886638D0">
      <w:start w:val="1"/>
      <w:numFmt w:val="decimal"/>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4" w15:restartNumberingAfterBreak="0">
    <w:nsid w:val="26CE5C93"/>
    <w:multiLevelType w:val="hybridMultilevel"/>
    <w:tmpl w:val="A0BCCD6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273E4277"/>
    <w:multiLevelType w:val="hybridMultilevel"/>
    <w:tmpl w:val="3AA2B6E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7E77F9E"/>
    <w:multiLevelType w:val="hybridMultilevel"/>
    <w:tmpl w:val="4AF2B2C4"/>
    <w:lvl w:ilvl="0" w:tplc="7C705276">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28087D9B"/>
    <w:multiLevelType w:val="hybridMultilevel"/>
    <w:tmpl w:val="AA7A812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C3E0AB0"/>
    <w:multiLevelType w:val="hybridMultilevel"/>
    <w:tmpl w:val="4F1437F4"/>
    <w:lvl w:ilvl="0" w:tplc="1AC664C6">
      <w:start w:val="1"/>
      <w:numFmt w:val="decimal"/>
      <w:lvlText w:val="(%1)"/>
      <w:lvlJc w:val="left"/>
      <w:pPr>
        <w:ind w:left="360" w:hanging="360"/>
      </w:pPr>
      <w:rPr>
        <w:rFonts w:ascii="Arial" w:hAnsi="Arial" w:hint="default"/>
        <w:b w:val="0"/>
        <w:i w:val="0"/>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31722610"/>
    <w:multiLevelType w:val="hybridMultilevel"/>
    <w:tmpl w:val="79AAF11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3236713D"/>
    <w:multiLevelType w:val="hybridMultilevel"/>
    <w:tmpl w:val="48F08CB6"/>
    <w:lvl w:ilvl="0" w:tplc="FFFFFFFF">
      <w:start w:val="1"/>
      <w:numFmt w:val="bullet"/>
      <w:lvlText w:val=""/>
      <w:lvlJc w:val="left"/>
      <w:pPr>
        <w:ind w:left="720" w:hanging="360"/>
      </w:pPr>
      <w:rPr>
        <w:rFonts w:ascii="Symbol" w:hAnsi="Symbol" w:hint="default"/>
      </w:rPr>
    </w:lvl>
    <w:lvl w:ilvl="1" w:tplc="02B2C3EA">
      <w:start w:val="1"/>
      <w:numFmt w:val="bullet"/>
      <w:lvlText w:val=""/>
      <w:lvlJc w:val="left"/>
      <w:pPr>
        <w:ind w:left="708"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52B6EE4"/>
    <w:multiLevelType w:val="hybridMultilevel"/>
    <w:tmpl w:val="C532C4A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377B2943"/>
    <w:multiLevelType w:val="hybridMultilevel"/>
    <w:tmpl w:val="4AB43CB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387D4B63"/>
    <w:multiLevelType w:val="hybridMultilevel"/>
    <w:tmpl w:val="B1E89E46"/>
    <w:lvl w:ilvl="0" w:tplc="15F00268">
      <w:start w:val="1"/>
      <w:numFmt w:val="decimal"/>
      <w:lvlText w:val="(%1)"/>
      <w:lvlJc w:val="left"/>
      <w:pPr>
        <w:ind w:left="360" w:hanging="360"/>
      </w:pPr>
      <w:rPr>
        <w:rFonts w:eastAsia="Times New Roman" w:cs="Arial" w:hint="default"/>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39361E31"/>
    <w:multiLevelType w:val="hybridMultilevel"/>
    <w:tmpl w:val="56C41170"/>
    <w:lvl w:ilvl="0" w:tplc="89B43CB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5" w15:restartNumberingAfterBreak="0">
    <w:nsid w:val="3CF07470"/>
    <w:multiLevelType w:val="hybridMultilevel"/>
    <w:tmpl w:val="DAACA46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3D3009AF"/>
    <w:multiLevelType w:val="hybridMultilevel"/>
    <w:tmpl w:val="AD284A2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7" w15:restartNumberingAfterBreak="0">
    <w:nsid w:val="40D43623"/>
    <w:multiLevelType w:val="hybridMultilevel"/>
    <w:tmpl w:val="EA86C95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41807A67"/>
    <w:multiLevelType w:val="hybridMultilevel"/>
    <w:tmpl w:val="BEFC7D68"/>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9" w15:restartNumberingAfterBreak="0">
    <w:nsid w:val="47973238"/>
    <w:multiLevelType w:val="hybridMultilevel"/>
    <w:tmpl w:val="EDF096EA"/>
    <w:lvl w:ilvl="0" w:tplc="4312600A">
      <w:start w:val="1"/>
      <w:numFmt w:val="decimal"/>
      <w:lvlText w:val="(%1)"/>
      <w:lvlJc w:val="left"/>
      <w:pPr>
        <w:ind w:left="360" w:hanging="360"/>
      </w:pPr>
      <w:rPr>
        <w:rFonts w:hint="default"/>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B234578"/>
    <w:multiLevelType w:val="hybridMultilevel"/>
    <w:tmpl w:val="7D70AD8A"/>
    <w:lvl w:ilvl="0" w:tplc="4312600A">
      <w:start w:val="1"/>
      <w:numFmt w:val="decimal"/>
      <w:lvlText w:val="(%1)"/>
      <w:lvlJc w:val="left"/>
      <w:pPr>
        <w:ind w:left="360" w:hanging="360"/>
      </w:pPr>
      <w:rPr>
        <w:rFonts w:hint="default"/>
        <w:color w:val="00000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1" w15:restartNumberingAfterBreak="0">
    <w:nsid w:val="4B4C71B0"/>
    <w:multiLevelType w:val="hybridMultilevel"/>
    <w:tmpl w:val="1E04F2FA"/>
    <w:lvl w:ilvl="0" w:tplc="00D2C3C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2" w15:restartNumberingAfterBreak="0">
    <w:nsid w:val="4F180039"/>
    <w:multiLevelType w:val="hybridMultilevel"/>
    <w:tmpl w:val="343643F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3" w15:restartNumberingAfterBreak="0">
    <w:nsid w:val="562C28B5"/>
    <w:multiLevelType w:val="hybridMultilevel"/>
    <w:tmpl w:val="A124938C"/>
    <w:lvl w:ilvl="0" w:tplc="02B2C3EA">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4" w15:restartNumberingAfterBreak="0">
    <w:nsid w:val="5BCD0692"/>
    <w:multiLevelType w:val="hybridMultilevel"/>
    <w:tmpl w:val="928459A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5" w15:restartNumberingAfterBreak="0">
    <w:nsid w:val="5CF566BB"/>
    <w:multiLevelType w:val="hybridMultilevel"/>
    <w:tmpl w:val="B6EADDC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6" w15:restartNumberingAfterBreak="0">
    <w:nsid w:val="5F0B6ACB"/>
    <w:multiLevelType w:val="hybridMultilevel"/>
    <w:tmpl w:val="5D68F0B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3C42EDB"/>
    <w:multiLevelType w:val="hybridMultilevel"/>
    <w:tmpl w:val="A852BC9E"/>
    <w:lvl w:ilvl="0" w:tplc="4312600A">
      <w:start w:val="1"/>
      <w:numFmt w:val="decimal"/>
      <w:lvlText w:val="(%1)"/>
      <w:lvlJc w:val="left"/>
      <w:pPr>
        <w:ind w:left="360" w:hanging="360"/>
      </w:pPr>
      <w:rPr>
        <w:rFonts w:hint="default"/>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65082698"/>
    <w:multiLevelType w:val="hybridMultilevel"/>
    <w:tmpl w:val="C14640F0"/>
    <w:lvl w:ilvl="0" w:tplc="1DFA71B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2411F1"/>
    <w:multiLevelType w:val="hybridMultilevel"/>
    <w:tmpl w:val="4A34098E"/>
    <w:lvl w:ilvl="0" w:tplc="E022F824">
      <w:start w:val="1"/>
      <w:numFmt w:val="decimal"/>
      <w:lvlText w:val="(%1)"/>
      <w:lvlJc w:val="left"/>
      <w:pPr>
        <w:ind w:left="375" w:hanging="375"/>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0" w15:restartNumberingAfterBreak="0">
    <w:nsid w:val="6AA87BA0"/>
    <w:multiLevelType w:val="hybridMultilevel"/>
    <w:tmpl w:val="DAD0039C"/>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1" w15:restartNumberingAfterBreak="0">
    <w:nsid w:val="6B666BC5"/>
    <w:multiLevelType w:val="hybridMultilevel"/>
    <w:tmpl w:val="6A189894"/>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2" w15:restartNumberingAfterBreak="0">
    <w:nsid w:val="6C1A67CC"/>
    <w:multiLevelType w:val="hybridMultilevel"/>
    <w:tmpl w:val="9A46EEAE"/>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76AF6D50"/>
    <w:multiLevelType w:val="hybridMultilevel"/>
    <w:tmpl w:val="5F0E08B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6F56ED3"/>
    <w:multiLevelType w:val="hybridMultilevel"/>
    <w:tmpl w:val="DDC2D4E0"/>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5" w15:restartNumberingAfterBreak="0">
    <w:nsid w:val="798F2984"/>
    <w:multiLevelType w:val="hybridMultilevel"/>
    <w:tmpl w:val="68609DE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6" w15:restartNumberingAfterBreak="0">
    <w:nsid w:val="7F6763B9"/>
    <w:multiLevelType w:val="hybridMultilevel"/>
    <w:tmpl w:val="5CBADDD6"/>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7" w15:restartNumberingAfterBreak="0">
    <w:nsid w:val="7F941E63"/>
    <w:multiLevelType w:val="hybridMultilevel"/>
    <w:tmpl w:val="5BFAE72A"/>
    <w:lvl w:ilvl="0" w:tplc="7C70527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16cid:durableId="729890224">
    <w:abstractNumId w:val="24"/>
  </w:num>
  <w:num w:numId="2" w16cid:durableId="211773393">
    <w:abstractNumId w:val="31"/>
  </w:num>
  <w:num w:numId="3" w16cid:durableId="2115973397">
    <w:abstractNumId w:val="29"/>
  </w:num>
  <w:num w:numId="4" w16cid:durableId="1705401202">
    <w:abstractNumId w:val="37"/>
  </w:num>
  <w:num w:numId="5" w16cid:durableId="1332953157">
    <w:abstractNumId w:val="30"/>
  </w:num>
  <w:num w:numId="6" w16cid:durableId="467863385">
    <w:abstractNumId w:val="23"/>
  </w:num>
  <w:num w:numId="7" w16cid:durableId="296182881">
    <w:abstractNumId w:val="8"/>
  </w:num>
  <w:num w:numId="8" w16cid:durableId="817069662">
    <w:abstractNumId w:val="9"/>
  </w:num>
  <w:num w:numId="9" w16cid:durableId="2077387803">
    <w:abstractNumId w:val="17"/>
  </w:num>
  <w:num w:numId="10" w16cid:durableId="715004976">
    <w:abstractNumId w:val="2"/>
  </w:num>
  <w:num w:numId="11" w16cid:durableId="264385294">
    <w:abstractNumId w:val="39"/>
  </w:num>
  <w:num w:numId="12" w16cid:durableId="289674882">
    <w:abstractNumId w:val="22"/>
  </w:num>
  <w:num w:numId="13" w16cid:durableId="873033683">
    <w:abstractNumId w:val="1"/>
  </w:num>
  <w:num w:numId="14" w16cid:durableId="770206136">
    <w:abstractNumId w:val="5"/>
  </w:num>
  <w:num w:numId="15" w16cid:durableId="2064450791">
    <w:abstractNumId w:val="13"/>
  </w:num>
  <w:num w:numId="16" w16cid:durableId="1332174454">
    <w:abstractNumId w:val="47"/>
  </w:num>
  <w:num w:numId="17" w16cid:durableId="1641880383">
    <w:abstractNumId w:val="27"/>
  </w:num>
  <w:num w:numId="18" w16cid:durableId="2131321629">
    <w:abstractNumId w:val="32"/>
  </w:num>
  <w:num w:numId="19" w16cid:durableId="1739010970">
    <w:abstractNumId w:val="34"/>
  </w:num>
  <w:num w:numId="20" w16cid:durableId="1381124820">
    <w:abstractNumId w:val="4"/>
  </w:num>
  <w:num w:numId="21" w16cid:durableId="183709479">
    <w:abstractNumId w:val="43"/>
  </w:num>
  <w:num w:numId="22" w16cid:durableId="971056548">
    <w:abstractNumId w:val="6"/>
  </w:num>
  <w:num w:numId="23" w16cid:durableId="48041556">
    <w:abstractNumId w:val="25"/>
  </w:num>
  <w:num w:numId="24" w16cid:durableId="463623651">
    <w:abstractNumId w:val="46"/>
  </w:num>
  <w:num w:numId="25" w16cid:durableId="1864442810">
    <w:abstractNumId w:val="42"/>
  </w:num>
  <w:num w:numId="26" w16cid:durableId="1045908193">
    <w:abstractNumId w:val="10"/>
  </w:num>
  <w:num w:numId="27" w16cid:durableId="672146024">
    <w:abstractNumId w:val="16"/>
  </w:num>
  <w:num w:numId="28" w16cid:durableId="273027581">
    <w:abstractNumId w:val="26"/>
  </w:num>
  <w:num w:numId="29" w16cid:durableId="1840653389">
    <w:abstractNumId w:val="14"/>
  </w:num>
  <w:num w:numId="30" w16cid:durableId="1583680044">
    <w:abstractNumId w:val="21"/>
  </w:num>
  <w:num w:numId="31" w16cid:durableId="1161894651">
    <w:abstractNumId w:val="41"/>
  </w:num>
  <w:num w:numId="32" w16cid:durableId="1430155108">
    <w:abstractNumId w:val="15"/>
  </w:num>
  <w:num w:numId="33" w16cid:durableId="1182430541">
    <w:abstractNumId w:val="11"/>
  </w:num>
  <w:num w:numId="34" w16cid:durableId="1054162613">
    <w:abstractNumId w:val="35"/>
  </w:num>
  <w:num w:numId="35" w16cid:durableId="579755407">
    <w:abstractNumId w:val="44"/>
  </w:num>
  <w:num w:numId="36" w16cid:durableId="1104105865">
    <w:abstractNumId w:val="19"/>
  </w:num>
  <w:num w:numId="37" w16cid:durableId="874001255">
    <w:abstractNumId w:val="12"/>
  </w:num>
  <w:num w:numId="38" w16cid:durableId="224727627">
    <w:abstractNumId w:val="3"/>
  </w:num>
  <w:num w:numId="39" w16cid:durableId="1756248983">
    <w:abstractNumId w:val="33"/>
  </w:num>
  <w:num w:numId="40" w16cid:durableId="2070692368">
    <w:abstractNumId w:val="20"/>
  </w:num>
  <w:num w:numId="41" w16cid:durableId="1569221495">
    <w:abstractNumId w:val="0"/>
  </w:num>
  <w:num w:numId="42" w16cid:durableId="1715688078">
    <w:abstractNumId w:val="36"/>
  </w:num>
  <w:num w:numId="43" w16cid:durableId="397486532">
    <w:abstractNumId w:val="7"/>
  </w:num>
  <w:num w:numId="44" w16cid:durableId="589895443">
    <w:abstractNumId w:val="45"/>
  </w:num>
  <w:num w:numId="45" w16cid:durableId="1157915240">
    <w:abstractNumId w:val="40"/>
  </w:num>
  <w:num w:numId="46" w16cid:durableId="626665439">
    <w:abstractNumId w:val="28"/>
  </w:num>
  <w:num w:numId="47" w16cid:durableId="578252527">
    <w:abstractNumId w:val="18"/>
  </w:num>
  <w:num w:numId="48" w16cid:durableId="185752899">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DBC"/>
    <w:rsid w:val="00026DD7"/>
    <w:rsid w:val="0002705D"/>
    <w:rsid w:val="00030C2B"/>
    <w:rsid w:val="00064B80"/>
    <w:rsid w:val="000A1CCE"/>
    <w:rsid w:val="000E4D66"/>
    <w:rsid w:val="000F3987"/>
    <w:rsid w:val="001232E0"/>
    <w:rsid w:val="00153995"/>
    <w:rsid w:val="00175BDD"/>
    <w:rsid w:val="00191BB5"/>
    <w:rsid w:val="00194E37"/>
    <w:rsid w:val="001A283A"/>
    <w:rsid w:val="001A5428"/>
    <w:rsid w:val="0020406B"/>
    <w:rsid w:val="00212164"/>
    <w:rsid w:val="00223A68"/>
    <w:rsid w:val="00264CD4"/>
    <w:rsid w:val="002760B8"/>
    <w:rsid w:val="00281B55"/>
    <w:rsid w:val="002C195E"/>
    <w:rsid w:val="002C6BF8"/>
    <w:rsid w:val="002F49A9"/>
    <w:rsid w:val="00310F6B"/>
    <w:rsid w:val="00316CDF"/>
    <w:rsid w:val="0032243F"/>
    <w:rsid w:val="00334DE6"/>
    <w:rsid w:val="00340E1D"/>
    <w:rsid w:val="00365652"/>
    <w:rsid w:val="0037205E"/>
    <w:rsid w:val="003E3747"/>
    <w:rsid w:val="003F0BEB"/>
    <w:rsid w:val="0040311B"/>
    <w:rsid w:val="00470D88"/>
    <w:rsid w:val="004A2E62"/>
    <w:rsid w:val="004D16C2"/>
    <w:rsid w:val="004D4DA5"/>
    <w:rsid w:val="004D62AC"/>
    <w:rsid w:val="00580D13"/>
    <w:rsid w:val="00590B06"/>
    <w:rsid w:val="005A3D73"/>
    <w:rsid w:val="005A6F38"/>
    <w:rsid w:val="005F1B6C"/>
    <w:rsid w:val="005F7ED5"/>
    <w:rsid w:val="0062605A"/>
    <w:rsid w:val="006362B9"/>
    <w:rsid w:val="006451E6"/>
    <w:rsid w:val="00656F8B"/>
    <w:rsid w:val="006C48F2"/>
    <w:rsid w:val="007033F6"/>
    <w:rsid w:val="00842873"/>
    <w:rsid w:val="00883C7C"/>
    <w:rsid w:val="008922DE"/>
    <w:rsid w:val="008A4239"/>
    <w:rsid w:val="008A618A"/>
    <w:rsid w:val="008D0807"/>
    <w:rsid w:val="008F6B78"/>
    <w:rsid w:val="00972DBC"/>
    <w:rsid w:val="00975DDD"/>
    <w:rsid w:val="009778AC"/>
    <w:rsid w:val="00995C31"/>
    <w:rsid w:val="009D36C1"/>
    <w:rsid w:val="009E5995"/>
    <w:rsid w:val="009F6AE8"/>
    <w:rsid w:val="00B41B48"/>
    <w:rsid w:val="00B50BA9"/>
    <w:rsid w:val="00B662A3"/>
    <w:rsid w:val="00B87335"/>
    <w:rsid w:val="00BD1D7C"/>
    <w:rsid w:val="00BD4A66"/>
    <w:rsid w:val="00BF27A8"/>
    <w:rsid w:val="00C92A5E"/>
    <w:rsid w:val="00CE738D"/>
    <w:rsid w:val="00D03C6E"/>
    <w:rsid w:val="00D671D6"/>
    <w:rsid w:val="00DB32A4"/>
    <w:rsid w:val="00DB3EE3"/>
    <w:rsid w:val="00EC4BCD"/>
    <w:rsid w:val="00EE53F1"/>
    <w:rsid w:val="00F064D8"/>
    <w:rsid w:val="00F418A3"/>
    <w:rsid w:val="00F4453A"/>
    <w:rsid w:val="00FC401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E4D8B"/>
  <w15:chartTrackingRefBased/>
  <w15:docId w15:val="{A14E3117-7209-4B18-A714-4D8347DD9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Calibr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DBC"/>
    <w:pPr>
      <w:spacing w:after="0" w:line="240" w:lineRule="auto"/>
      <w:jc w:val="both"/>
    </w:pPr>
    <w:rPr>
      <w:rFonts w:ascii="Arial" w:hAnsi="Arial" w:cs="Times New Roman"/>
      <w:kern w:val="0"/>
      <w:sz w:val="20"/>
      <w14:ligatures w14:val="none"/>
    </w:rPr>
  </w:style>
  <w:style w:type="paragraph" w:styleId="Naslov1">
    <w:name w:val="heading 1"/>
    <w:basedOn w:val="Normal"/>
    <w:next w:val="Normal"/>
    <w:link w:val="Naslov1Char"/>
    <w:uiPriority w:val="9"/>
    <w:qFormat/>
    <w:rsid w:val="00470D88"/>
    <w:pPr>
      <w:keepNext/>
      <w:outlineLvl w:val="0"/>
    </w:pPr>
    <w:rPr>
      <w:rFonts w:eastAsiaTheme="majorEastAsia" w:cstheme="majorBidi"/>
      <w:bCs/>
      <w:kern w:val="32"/>
      <w:sz w:val="28"/>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470D88"/>
    <w:rPr>
      <w:rFonts w:ascii="Arial" w:eastAsiaTheme="majorEastAsia" w:hAnsi="Arial" w:cstheme="majorBidi"/>
      <w:bCs/>
      <w:kern w:val="32"/>
      <w:sz w:val="28"/>
      <w:szCs w:val="32"/>
    </w:rPr>
  </w:style>
  <w:style w:type="paragraph" w:styleId="Odlomakpopisa">
    <w:name w:val="List Paragraph"/>
    <w:basedOn w:val="Normal"/>
    <w:uiPriority w:val="34"/>
    <w:qFormat/>
    <w:rsid w:val="00972DBC"/>
    <w:pPr>
      <w:ind w:left="720"/>
      <w:contextualSpacing/>
    </w:pPr>
  </w:style>
  <w:style w:type="table" w:styleId="Reetkatablice">
    <w:name w:val="Table Grid"/>
    <w:basedOn w:val="Obinatablica"/>
    <w:uiPriority w:val="39"/>
    <w:rsid w:val="00972D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glavlje">
    <w:name w:val="header"/>
    <w:basedOn w:val="Normal"/>
    <w:link w:val="ZaglavljeChar"/>
    <w:uiPriority w:val="99"/>
    <w:unhideWhenUsed/>
    <w:rsid w:val="004A2E62"/>
    <w:pPr>
      <w:tabs>
        <w:tab w:val="center" w:pos="4513"/>
        <w:tab w:val="right" w:pos="9026"/>
      </w:tabs>
    </w:pPr>
  </w:style>
  <w:style w:type="character" w:customStyle="1" w:styleId="ZaglavljeChar">
    <w:name w:val="Zaglavlje Char"/>
    <w:basedOn w:val="Zadanifontodlomka"/>
    <w:link w:val="Zaglavlje"/>
    <w:uiPriority w:val="99"/>
    <w:rsid w:val="004A2E62"/>
    <w:rPr>
      <w:rFonts w:ascii="Arial" w:hAnsi="Arial" w:cs="Times New Roman"/>
      <w:kern w:val="0"/>
      <w:sz w:val="20"/>
      <w14:ligatures w14:val="none"/>
    </w:rPr>
  </w:style>
  <w:style w:type="paragraph" w:styleId="Podnoje">
    <w:name w:val="footer"/>
    <w:basedOn w:val="Normal"/>
    <w:link w:val="PodnojeChar"/>
    <w:uiPriority w:val="99"/>
    <w:unhideWhenUsed/>
    <w:rsid w:val="004A2E62"/>
    <w:pPr>
      <w:tabs>
        <w:tab w:val="center" w:pos="4513"/>
        <w:tab w:val="right" w:pos="9026"/>
      </w:tabs>
    </w:pPr>
  </w:style>
  <w:style w:type="character" w:customStyle="1" w:styleId="PodnojeChar">
    <w:name w:val="Podnožje Char"/>
    <w:basedOn w:val="Zadanifontodlomka"/>
    <w:link w:val="Podnoje"/>
    <w:uiPriority w:val="99"/>
    <w:rsid w:val="004A2E62"/>
    <w:rPr>
      <w:rFonts w:ascii="Arial" w:hAnsi="Arial" w:cs="Times New Roman"/>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0E4735-6C33-4210-96CB-92F1E77EA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12</Pages>
  <Words>3265</Words>
  <Characters>18617</Characters>
  <Application>Microsoft Office Word</Application>
  <DocSecurity>0</DocSecurity>
  <Lines>155</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 Bračun</dc:creator>
  <cp:keywords/>
  <dc:description/>
  <cp:lastModifiedBy>Martina Perhat</cp:lastModifiedBy>
  <cp:revision>10</cp:revision>
  <cp:lastPrinted>2024-10-22T16:24:00Z</cp:lastPrinted>
  <dcterms:created xsi:type="dcterms:W3CDTF">2024-12-04T08:30:00Z</dcterms:created>
  <dcterms:modified xsi:type="dcterms:W3CDTF">2024-12-04T15:33:00Z</dcterms:modified>
</cp:coreProperties>
</file>