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D723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23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67. stavka 1. Zakona o komunalnom gospodarstvu („Narodne novine“ broj 68/18, 110/18 i 32/20), članka 179. stavka 2. Zakona o gospodarenju otpadom („Narodne novine“ broj 84/21) i članka 33. stavak 1. točka 13. Statuta Općine Jelenje („Službene novine Općine Jelenje“ broj 59/23)</w:t>
      </w:r>
      <w:r w:rsidRPr="004D7E7B">
        <w:rPr>
          <w:rFonts w:ascii="Arial" w:eastAsia="Arial" w:hAnsi="Arial" w:cs="Arial"/>
          <w:color w:val="FF0000"/>
          <w:kern w:val="2"/>
          <w:lang w:eastAsia="hr-HR"/>
          <w14:ligatures w14:val="standardContextual"/>
        </w:rPr>
        <w:t xml:space="preserve"> </w:t>
      </w: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Općinsko vijeće Općine Jelenje na 23. sjednici održanoj 18. prosinca 2024. donosi</w:t>
      </w:r>
    </w:p>
    <w:p w14:paraId="3AEE34FA" w14:textId="77777777" w:rsidR="002F60F1" w:rsidRPr="004D7E7B" w:rsidRDefault="002F60F1" w:rsidP="002F60F1">
      <w:pPr>
        <w:suppressAutoHyphens w:val="0"/>
        <w:autoSpaceDN/>
        <w:spacing w:after="120" w:line="266" w:lineRule="auto"/>
        <w:ind w:left="11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5F733DCD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11" w:right="425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4D7E7B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Program građenja komunalne infrastrukture </w:t>
      </w:r>
    </w:p>
    <w:p w14:paraId="6316B949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11" w:right="425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4D7E7B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na području Općine Jelenje za 2025. godinu</w:t>
      </w:r>
    </w:p>
    <w:p w14:paraId="79CF2139" w14:textId="77777777" w:rsidR="002F60F1" w:rsidRPr="004D7E7B" w:rsidRDefault="002F60F1" w:rsidP="002F60F1">
      <w:pPr>
        <w:suppressAutoHyphens w:val="0"/>
        <w:autoSpaceDN/>
        <w:spacing w:after="120" w:line="266" w:lineRule="auto"/>
        <w:ind w:left="11" w:right="425" w:hanging="10"/>
        <w:jc w:val="both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1A3A83A4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1107" w:right="425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  <w:t xml:space="preserve">Članak 1. </w:t>
      </w:r>
    </w:p>
    <w:p w14:paraId="51D8EED6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23" w:right="425" w:hanging="10"/>
        <w:jc w:val="both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Program građenja komunalne infrastrukture na području Općine Jelenje za 2025. godinu</w:t>
      </w: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(u daljnjem tekstu: Program) utvrđuje se građenje komunalne infrastrukture na području Općine Jelenje, koja gradnja se može financirati iz sljedećih izvora: </w:t>
      </w:r>
    </w:p>
    <w:p w14:paraId="0A4F73CB" w14:textId="77777777" w:rsidR="002F60F1" w:rsidRPr="004D7E7B" w:rsidRDefault="00000000" w:rsidP="002F60F1">
      <w:pPr>
        <w:numPr>
          <w:ilvl w:val="0"/>
          <w:numId w:val="3"/>
        </w:numPr>
        <w:suppressAutoHyphens w:val="0"/>
        <w:autoSpaceDN/>
        <w:spacing w:after="120" w:line="266" w:lineRule="auto"/>
        <w:ind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komunalnog doprinosa  </w:t>
      </w:r>
    </w:p>
    <w:p w14:paraId="2519E360" w14:textId="77777777" w:rsidR="002F60F1" w:rsidRPr="004D7E7B" w:rsidRDefault="00000000" w:rsidP="002F60F1">
      <w:pPr>
        <w:numPr>
          <w:ilvl w:val="0"/>
          <w:numId w:val="3"/>
        </w:numPr>
        <w:suppressAutoHyphens w:val="0"/>
        <w:autoSpaceDN/>
        <w:spacing w:after="120" w:line="266" w:lineRule="auto"/>
        <w:ind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komunalne naknade</w:t>
      </w:r>
    </w:p>
    <w:p w14:paraId="6D34AF4A" w14:textId="77777777" w:rsidR="002F60F1" w:rsidRPr="004D7E7B" w:rsidRDefault="00000000" w:rsidP="002F60F1">
      <w:pPr>
        <w:numPr>
          <w:ilvl w:val="0"/>
          <w:numId w:val="3"/>
        </w:numPr>
        <w:suppressAutoHyphens w:val="0"/>
        <w:autoSpaceDN/>
        <w:spacing w:after="120" w:line="266" w:lineRule="auto"/>
        <w:ind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doprinosa za šume</w:t>
      </w:r>
    </w:p>
    <w:p w14:paraId="1935ACC9" w14:textId="77777777" w:rsidR="002F60F1" w:rsidRPr="004D7E7B" w:rsidRDefault="00000000" w:rsidP="002F60F1">
      <w:pPr>
        <w:numPr>
          <w:ilvl w:val="0"/>
          <w:numId w:val="3"/>
        </w:numPr>
        <w:suppressAutoHyphens w:val="0"/>
        <w:autoSpaceDN/>
        <w:spacing w:after="120" w:line="266" w:lineRule="auto"/>
        <w:ind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prihoda vodnog gospodarstva</w:t>
      </w:r>
    </w:p>
    <w:p w14:paraId="3B325B15" w14:textId="77777777" w:rsidR="002F60F1" w:rsidRPr="004D7E7B" w:rsidRDefault="00000000" w:rsidP="002F60F1">
      <w:pPr>
        <w:numPr>
          <w:ilvl w:val="0"/>
          <w:numId w:val="3"/>
        </w:numPr>
        <w:suppressAutoHyphens w:val="0"/>
        <w:autoSpaceDN/>
        <w:spacing w:after="120" w:line="266" w:lineRule="auto"/>
        <w:ind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ostalo (pomoći, naknada za grobno mjesto, vlastiti)</w:t>
      </w:r>
    </w:p>
    <w:p w14:paraId="15DD1A16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486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</w:t>
      </w:r>
    </w:p>
    <w:p w14:paraId="5E3E6F38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1107" w:right="425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  <w:t xml:space="preserve">Članak 2. </w:t>
      </w:r>
    </w:p>
    <w:p w14:paraId="1C3D9E26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23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Ovim Programom određuje se građenje komunalne infrastrukture na području Općine Jelenje za 2024. godinu </w:t>
      </w:r>
      <w:r w:rsidRPr="004D7E7B">
        <w:rPr>
          <w:rFonts w:ascii="Arial" w:eastAsia="Times New Roman" w:hAnsi="Arial" w:cs="Arial"/>
          <w:bCs/>
          <w:color w:val="000000"/>
          <w:kern w:val="2"/>
          <w:lang w:eastAsia="hr-HR"/>
          <w14:ligatures w14:val="standardContextual"/>
        </w:rPr>
        <w:t>u ukupnom iznosu od</w:t>
      </w:r>
      <w:r w:rsidRPr="004D7E7B"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  <w:t xml:space="preserve"> </w:t>
      </w: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842.000,00 eura</w:t>
      </w: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i to: </w:t>
      </w:r>
    </w:p>
    <w:p w14:paraId="02E8D360" w14:textId="77777777" w:rsidR="002F60F1" w:rsidRPr="004D7E7B" w:rsidRDefault="00000000" w:rsidP="002F60F1">
      <w:pPr>
        <w:numPr>
          <w:ilvl w:val="0"/>
          <w:numId w:val="4"/>
        </w:numPr>
        <w:suppressAutoHyphens w:val="0"/>
        <w:autoSpaceDN/>
        <w:spacing w:after="120" w:line="266" w:lineRule="auto"/>
        <w:ind w:right="425" w:hanging="22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građevine komunalne infrastrukture koje će se graditi radi uređenja neuređenih dijelova građevinskog područja u iznosu od 125.000,00 eura (ceste i infrastruktura i proširenje nerazvrstane ceste), </w:t>
      </w:r>
    </w:p>
    <w:p w14:paraId="3901CCDD" w14:textId="77777777" w:rsidR="002F60F1" w:rsidRPr="004D7E7B" w:rsidRDefault="00000000" w:rsidP="002F60F1">
      <w:pPr>
        <w:numPr>
          <w:ilvl w:val="0"/>
          <w:numId w:val="4"/>
        </w:numPr>
        <w:suppressAutoHyphens w:val="0"/>
        <w:autoSpaceDN/>
        <w:spacing w:after="120" w:line="266" w:lineRule="auto"/>
        <w:ind w:right="425" w:hanging="22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građevine komunalne infrastrukture koje će se graditi u uređenim dijelovima građevinskog područja u iznosu od 143.000,00 eura (dječje igralište i autobusna stanica); </w:t>
      </w:r>
    </w:p>
    <w:p w14:paraId="151CFC9A" w14:textId="77777777" w:rsidR="002F60F1" w:rsidRPr="004D7E7B" w:rsidRDefault="00000000" w:rsidP="002F60F1">
      <w:pPr>
        <w:numPr>
          <w:ilvl w:val="0"/>
          <w:numId w:val="4"/>
        </w:numPr>
        <w:suppressAutoHyphens w:val="0"/>
        <w:autoSpaceDN/>
        <w:spacing w:after="120" w:line="266" w:lineRule="auto"/>
        <w:ind w:right="425" w:hanging="22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građevine komunalne infrastrukture koje će se graditi izvan građevinskog područja u iznosu od 131.000,00 eura (</w:t>
      </w:r>
      <w:r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Izgradnja i opremanje ciklo-t</w:t>
      </w:r>
      <w:r w:rsidRPr="004D7E7B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rail centra Rastočine</w:t>
      </w: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, uređenje Kalića i opremanje planinarskih staza),</w:t>
      </w:r>
    </w:p>
    <w:p w14:paraId="141360E9" w14:textId="77777777" w:rsidR="002F60F1" w:rsidRPr="004D7E7B" w:rsidRDefault="00000000" w:rsidP="002F60F1">
      <w:pPr>
        <w:numPr>
          <w:ilvl w:val="0"/>
          <w:numId w:val="4"/>
        </w:numPr>
        <w:suppressAutoHyphens w:val="0"/>
        <w:autoSpaceDN/>
        <w:spacing w:after="120" w:line="266" w:lineRule="auto"/>
        <w:ind w:right="425" w:hanging="22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postojeće građevine komunalne infrastrukture koje će se rekonstruirati i dograditi u iznosu od 392.000,00 eura (nerazvrstane ceste, groblje, javna rasvjeta, izgradnja vodovodne mreže) </w:t>
      </w:r>
    </w:p>
    <w:p w14:paraId="467990A1" w14:textId="77777777" w:rsidR="002F60F1" w:rsidRPr="004D7E7B" w:rsidRDefault="00000000" w:rsidP="002F60F1">
      <w:pPr>
        <w:numPr>
          <w:ilvl w:val="0"/>
          <w:numId w:val="4"/>
        </w:numPr>
        <w:suppressAutoHyphens w:val="0"/>
        <w:autoSpaceDN/>
        <w:spacing w:after="120" w:line="266" w:lineRule="auto"/>
        <w:ind w:right="425" w:hanging="22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ostalo u iznosu od 51.000,00 eura određeno Zakonom o komunalnom gospodarstvu i ostalim propisima (registar nerazvrstanih cesta i ostala ulaganja). </w:t>
      </w:r>
    </w:p>
    <w:p w14:paraId="40AE3CFE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23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Programom se određuje popis građevina s procjenom troškova za projektiranje, reviziju, građenje, provedbe stručnog nadzora građenja i provedbe vođenja projekata građenja komunalne infrastrukture s naznakom izvora njihova financiranja te iskaz financijskih sredstava potrebnih za ostvarivanje programa. </w:t>
      </w:r>
    </w:p>
    <w:p w14:paraId="7766A134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23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lastRenderedPageBreak/>
        <w:t xml:space="preserve">Procjena  troškova  građenja  komunalne  infrastrukture  obavlja  se  prema  načelu  punog pokrića  troškova.  </w:t>
      </w:r>
    </w:p>
    <w:p w14:paraId="37434C4A" w14:textId="77777777" w:rsidR="002F60F1" w:rsidRPr="004D7E7B" w:rsidRDefault="002F60F1" w:rsidP="002F60F1">
      <w:pPr>
        <w:suppressAutoHyphens w:val="0"/>
        <w:autoSpaceDN/>
        <w:spacing w:after="120" w:line="266" w:lineRule="auto"/>
        <w:ind w:left="23" w:right="425" w:hanging="10"/>
        <w:jc w:val="both"/>
        <w:textAlignment w:val="auto"/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</w:pPr>
    </w:p>
    <w:p w14:paraId="2BD28B3A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1107" w:right="425" w:hanging="10"/>
        <w:jc w:val="center"/>
        <w:textAlignment w:val="auto"/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  <w:t xml:space="preserve">Članak 3. </w:t>
      </w:r>
    </w:p>
    <w:p w14:paraId="4733E977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23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Za ostvarenje Programa gradnje objekata i uređenja komunalne infrastrukture koristit će se izvori financiranja u ukupnom iznosu od 842.000,00 eura kako slijedi: </w:t>
      </w:r>
    </w:p>
    <w:tbl>
      <w:tblPr>
        <w:tblStyle w:val="TableGrid"/>
        <w:tblW w:w="8897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544"/>
      </w:tblGrid>
      <w:tr w:rsidR="002E6609" w14:paraId="64E6CD5A" w14:textId="77777777" w:rsidTr="005E3F44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D905951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both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IZVOR FINANCIRANJA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5BF3F29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IZNOS u eurima</w:t>
            </w:r>
          </w:p>
        </w:tc>
      </w:tr>
      <w:tr w:rsidR="002E6609" w14:paraId="0BE94D20" w14:textId="77777777" w:rsidTr="005E3F44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DE26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Komunalni doprinos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1338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2E6609" w14:paraId="6E67A997" w14:textId="77777777" w:rsidTr="005E3F44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68D2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E981" w14:textId="77777777" w:rsidR="002F60F1" w:rsidRPr="004D7E7B" w:rsidRDefault="00000000" w:rsidP="005E3F44">
            <w:pPr>
              <w:suppressAutoHyphens w:val="0"/>
              <w:autoSpaceDN/>
              <w:ind w:right="425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124.000,00</w:t>
            </w:r>
          </w:p>
        </w:tc>
      </w:tr>
      <w:tr w:rsidR="002E6609" w14:paraId="4B6CEC29" w14:textId="77777777" w:rsidTr="005E3F44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FABF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Prihodi vodnog gospodarstva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32A7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E6609" w14:paraId="08EF1E06" w14:textId="77777777" w:rsidTr="005E3F44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C347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Doprinos za šume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4139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E6609" w14:paraId="65FF1A46" w14:textId="77777777" w:rsidTr="005E3F44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7876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Ostalo (pomoći, naknada za grobno mjesto, vlastiti)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2E1E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423.000,00</w:t>
            </w:r>
          </w:p>
        </w:tc>
      </w:tr>
      <w:tr w:rsidR="002E6609" w14:paraId="155B6C85" w14:textId="77777777" w:rsidTr="005E3F44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69FE66B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both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F575B6E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842.000,00</w:t>
            </w:r>
          </w:p>
        </w:tc>
      </w:tr>
    </w:tbl>
    <w:p w14:paraId="6F5EF0D2" w14:textId="77777777" w:rsidR="002F60F1" w:rsidRPr="004D7E7B" w:rsidRDefault="002F60F1" w:rsidP="002F60F1">
      <w:pPr>
        <w:suppressAutoHyphens w:val="0"/>
        <w:autoSpaceDN/>
        <w:spacing w:after="120" w:line="266" w:lineRule="auto"/>
        <w:ind w:left="11" w:right="425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2849A592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11" w:right="425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4.</w:t>
      </w:r>
    </w:p>
    <w:p w14:paraId="2C61A07E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23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Sredstva iz članka 3. Programa utrošiti će se kako slijedi:</w:t>
      </w:r>
    </w:p>
    <w:tbl>
      <w:tblPr>
        <w:tblStyle w:val="TableGrid"/>
        <w:tblpPr w:leftFromText="180" w:rightFromText="180" w:vertAnchor="text" w:horzAnchor="margin" w:tblpY="160"/>
        <w:tblW w:w="9915" w:type="dxa"/>
        <w:tblInd w:w="0" w:type="dxa"/>
        <w:tblBorders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  <w:insideH w:val="single" w:sz="4" w:space="0" w:color="181717"/>
          <w:insideV w:val="single" w:sz="4" w:space="0" w:color="181717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3"/>
        <w:gridCol w:w="1653"/>
        <w:gridCol w:w="1653"/>
      </w:tblGrid>
      <w:tr w:rsidR="002E6609" w14:paraId="138005B9" w14:textId="77777777" w:rsidTr="005E3F44">
        <w:trPr>
          <w:trHeight w:val="20"/>
        </w:trPr>
        <w:tc>
          <w:tcPr>
            <w:tcW w:w="165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5E0B3"/>
            <w:vAlign w:val="center"/>
            <w:hideMark/>
          </w:tcPr>
          <w:p w14:paraId="3856BC12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REDNI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</w:t>
            </w: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ROJ </w:t>
            </w:r>
          </w:p>
        </w:tc>
        <w:tc>
          <w:tcPr>
            <w:tcW w:w="165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5E0B3"/>
            <w:vAlign w:val="center"/>
            <w:hideMark/>
          </w:tcPr>
          <w:p w14:paraId="7279BE27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PROGRAM </w:t>
            </w:r>
          </w:p>
        </w:tc>
        <w:tc>
          <w:tcPr>
            <w:tcW w:w="165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5E0B3"/>
            <w:vAlign w:val="center"/>
          </w:tcPr>
          <w:p w14:paraId="4380C02D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 xml:space="preserve">PROCJENA </w:t>
            </w:r>
          </w:p>
          <w:p w14:paraId="3D59484D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 xml:space="preserve">TROŠKOVA </w:t>
            </w:r>
          </w:p>
          <w:p w14:paraId="25379687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 xml:space="preserve">GRAĐENJA ZA </w:t>
            </w:r>
          </w:p>
          <w:p w14:paraId="609689BD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>2024. GODINU</w:t>
            </w:r>
          </w:p>
          <w:p w14:paraId="0A2F098E" w14:textId="77777777" w:rsidR="002F60F1" w:rsidRPr="004D7E7B" w:rsidRDefault="002F60F1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5E0B3"/>
            <w:vAlign w:val="center"/>
            <w:hideMark/>
          </w:tcPr>
          <w:p w14:paraId="498E43A8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POZICIJA </w:t>
            </w:r>
          </w:p>
          <w:p w14:paraId="71C67146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PRORAČUNA</w:t>
            </w:r>
          </w:p>
        </w:tc>
        <w:tc>
          <w:tcPr>
            <w:tcW w:w="33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5E0B3"/>
            <w:vAlign w:val="center"/>
            <w:hideMark/>
          </w:tcPr>
          <w:p w14:paraId="64F48430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IZVORI FINANCIRANJA  </w:t>
            </w:r>
          </w:p>
        </w:tc>
      </w:tr>
      <w:tr w:rsidR="002E6609" w14:paraId="2CFB1E9E" w14:textId="77777777" w:rsidTr="005E3F44">
        <w:trPr>
          <w:trHeight w:val="20"/>
        </w:trPr>
        <w:tc>
          <w:tcPr>
            <w:tcW w:w="0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1684D58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96BF938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E44A16E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9F1A265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5E0B3"/>
            <w:vAlign w:val="center"/>
            <w:hideMark/>
          </w:tcPr>
          <w:p w14:paraId="45EFE7B0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IZVOR </w:t>
            </w: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5E0B3"/>
            <w:vAlign w:val="center"/>
            <w:hideMark/>
          </w:tcPr>
          <w:p w14:paraId="1F983377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VRIJEDNOST  </w:t>
            </w:r>
          </w:p>
        </w:tc>
      </w:tr>
      <w:tr w:rsidR="002E6609" w14:paraId="7B53D33A" w14:textId="77777777" w:rsidTr="005E3F44">
        <w:trPr>
          <w:trHeight w:val="20"/>
        </w:trPr>
        <w:tc>
          <w:tcPr>
            <w:tcW w:w="9915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2EFD9"/>
            <w:vAlign w:val="center"/>
            <w:hideMark/>
          </w:tcPr>
          <w:p w14:paraId="38D26AB1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>1. IZGRADNJA GRAĐEVINA KOMUNALNE INFRASTRUKTURE U NEUREĐENIM DJELOVIMA GRAĐEVINSKOG PODRUČJA                                                                                  125.000,00</w:t>
            </w:r>
          </w:p>
        </w:tc>
      </w:tr>
      <w:tr w:rsidR="002E6609" w14:paraId="4CC55EF9" w14:textId="77777777" w:rsidTr="005E3F44">
        <w:trPr>
          <w:trHeight w:val="20"/>
        </w:trPr>
        <w:tc>
          <w:tcPr>
            <w:tcW w:w="9915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5E0B3"/>
            <w:vAlign w:val="center"/>
            <w:hideMark/>
          </w:tcPr>
          <w:p w14:paraId="59DB4A7C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1166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1.1.NERAZVRSTANE CESTE                                                                                                                                        125.000,00</w:t>
            </w:r>
          </w:p>
        </w:tc>
      </w:tr>
      <w:tr w:rsidR="002E6609" w14:paraId="7618DA91" w14:textId="77777777" w:rsidTr="005E3F44">
        <w:trPr>
          <w:trHeight w:val="20"/>
        </w:trPr>
        <w:tc>
          <w:tcPr>
            <w:tcW w:w="1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4F2F1"/>
            <w:vAlign w:val="center"/>
            <w:hideMark/>
          </w:tcPr>
          <w:p w14:paraId="4AD94DD3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1.1.1. </w:t>
            </w:r>
          </w:p>
        </w:tc>
        <w:tc>
          <w:tcPr>
            <w:tcW w:w="1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4F2F1"/>
            <w:vAlign w:val="center"/>
            <w:hideMark/>
          </w:tcPr>
          <w:p w14:paraId="0D8B698D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" w:right="425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Cesta i infrastruktura  </w:t>
            </w:r>
          </w:p>
        </w:tc>
        <w:tc>
          <w:tcPr>
            <w:tcW w:w="1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4F2F1"/>
            <w:vAlign w:val="center"/>
          </w:tcPr>
          <w:p w14:paraId="385D0E28" w14:textId="77777777" w:rsidR="002F60F1" w:rsidRPr="004D7E7B" w:rsidRDefault="002F60F1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4F4D664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K100901</w:t>
            </w: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FD1AD92" w14:textId="77777777" w:rsidR="002F60F1" w:rsidRPr="004D7E7B" w:rsidRDefault="002F60F1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9FC7B74" w14:textId="77777777" w:rsidR="002F60F1" w:rsidRPr="004D7E7B" w:rsidRDefault="002F60F1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4775604D" w14:textId="77777777" w:rsidTr="005E3F44">
        <w:trPr>
          <w:trHeight w:val="20"/>
        </w:trPr>
        <w:tc>
          <w:tcPr>
            <w:tcW w:w="3304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285ED2E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" w:right="425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  gradnje</w:t>
            </w:r>
          </w:p>
        </w:tc>
        <w:tc>
          <w:tcPr>
            <w:tcW w:w="165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56E8C4F7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AD92DF8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8C54EB2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Komunalni doprinos</w:t>
            </w: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468E712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21.000,00</w:t>
            </w:r>
          </w:p>
        </w:tc>
      </w:tr>
      <w:tr w:rsidR="002E6609" w14:paraId="454DEB2F" w14:textId="77777777" w:rsidTr="005E3F44">
        <w:trPr>
          <w:trHeight w:val="20"/>
        </w:trPr>
        <w:tc>
          <w:tcPr>
            <w:tcW w:w="0" w:type="dxa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CFC3DBD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3D97EB5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9DEDA1D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5628E2E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0F58075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24.000,00</w:t>
            </w:r>
          </w:p>
        </w:tc>
      </w:tr>
      <w:tr w:rsidR="002E6609" w14:paraId="2B9E3511" w14:textId="77777777" w:rsidTr="005E3F44">
        <w:trPr>
          <w:trHeight w:val="20"/>
        </w:trPr>
        <w:tc>
          <w:tcPr>
            <w:tcW w:w="3304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59444C61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" w:right="425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Projekt/nadzor</w:t>
            </w:r>
          </w:p>
        </w:tc>
        <w:tc>
          <w:tcPr>
            <w:tcW w:w="165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2C330B11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D3C5F3F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501EC615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47A1F76F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6609" w14:paraId="28F1D73A" w14:textId="77777777" w:rsidTr="005E3F44">
        <w:trPr>
          <w:trHeight w:val="20"/>
        </w:trPr>
        <w:tc>
          <w:tcPr>
            <w:tcW w:w="0" w:type="dxa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F669B8C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4E6A49E9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5EA259D1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155C8F87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Opći prihodi</w:t>
            </w: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1AFAF766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E6609" w14:paraId="28B1A570" w14:textId="77777777" w:rsidTr="005E3F44">
        <w:trPr>
          <w:trHeight w:val="20"/>
        </w:trPr>
        <w:tc>
          <w:tcPr>
            <w:tcW w:w="1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4F2F1"/>
            <w:vAlign w:val="center"/>
            <w:hideMark/>
          </w:tcPr>
          <w:p w14:paraId="60DA975F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1.1.2. </w:t>
            </w:r>
          </w:p>
        </w:tc>
        <w:tc>
          <w:tcPr>
            <w:tcW w:w="1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4F2F1"/>
            <w:vAlign w:val="center"/>
            <w:hideMark/>
          </w:tcPr>
          <w:p w14:paraId="3CEE0668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" w:right="425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Proširenje ceste </w:t>
            </w:r>
          </w:p>
          <w:p w14:paraId="12789708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" w:right="425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Zoretići-Kukuljani  </w:t>
            </w:r>
          </w:p>
        </w:tc>
        <w:tc>
          <w:tcPr>
            <w:tcW w:w="1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4F2F1"/>
            <w:vAlign w:val="center"/>
          </w:tcPr>
          <w:p w14:paraId="3746B9D1" w14:textId="77777777" w:rsidR="002F60F1" w:rsidRPr="004D7E7B" w:rsidRDefault="002F60F1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2F534B56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K100923</w:t>
            </w: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97DF5DD" w14:textId="77777777" w:rsidR="002F60F1" w:rsidRPr="004D7E7B" w:rsidRDefault="002F60F1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04DEE08" w14:textId="77777777" w:rsidR="002F60F1" w:rsidRPr="004D7E7B" w:rsidRDefault="002F60F1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1B2C4428" w14:textId="77777777" w:rsidTr="005E3F44">
        <w:trPr>
          <w:trHeight w:val="20"/>
        </w:trPr>
        <w:tc>
          <w:tcPr>
            <w:tcW w:w="3304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42248F2E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" w:right="425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gradnja</w:t>
            </w:r>
          </w:p>
        </w:tc>
        <w:tc>
          <w:tcPr>
            <w:tcW w:w="165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F95BB38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E3C0F35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120697A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Prihod iz vodnog gospodarstva</w:t>
            </w: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37B45A9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E6609" w14:paraId="548F9232" w14:textId="77777777" w:rsidTr="005E3F44">
        <w:trPr>
          <w:trHeight w:val="20"/>
        </w:trPr>
        <w:tc>
          <w:tcPr>
            <w:tcW w:w="0" w:type="dxa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C3F6B41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8026358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EAA12CB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2D9FB7E9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Opći prihodi</w:t>
            </w:r>
          </w:p>
        </w:tc>
        <w:tc>
          <w:tcPr>
            <w:tcW w:w="16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35F2807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</w:tbl>
    <w:p w14:paraId="22E87975" w14:textId="77777777" w:rsidR="002F60F1" w:rsidRPr="004D7E7B" w:rsidRDefault="002F60F1" w:rsidP="002F60F1">
      <w:pPr>
        <w:suppressAutoHyphens w:val="0"/>
        <w:autoSpaceDN/>
        <w:spacing w:after="120" w:line="256" w:lineRule="auto"/>
        <w:ind w:left="685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sz w:val="16"/>
          <w:szCs w:val="16"/>
          <w:lang w:eastAsia="hr-HR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X="199" w:tblpY="119"/>
        <w:tblW w:w="971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940"/>
        <w:gridCol w:w="1407"/>
        <w:gridCol w:w="1332"/>
        <w:gridCol w:w="2355"/>
        <w:gridCol w:w="1738"/>
      </w:tblGrid>
      <w:tr w:rsidR="002E6609" w14:paraId="467AB470" w14:textId="77777777" w:rsidTr="005E3F44">
        <w:trPr>
          <w:trHeight w:val="20"/>
        </w:trPr>
        <w:tc>
          <w:tcPr>
            <w:tcW w:w="9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B88498E" w14:textId="77777777" w:rsidR="002F60F1" w:rsidRPr="004D7E7B" w:rsidRDefault="00000000" w:rsidP="005E3F44">
            <w:pPr>
              <w:suppressAutoHyphens w:val="0"/>
              <w:autoSpaceDN/>
              <w:ind w:left="21" w:right="425" w:hanging="10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2. IZGRADNJA GRAĐEVINA KOMUNALNE INFRASTRUKTURE U UREĐENIM DIJELOVIMA GRAĐEVINSKIH PODRUČJA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ab/>
            </w: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>143.000,00</w:t>
            </w:r>
          </w:p>
        </w:tc>
      </w:tr>
      <w:tr w:rsidR="002E6609" w14:paraId="12C20B03" w14:textId="77777777" w:rsidTr="005E3F44">
        <w:trPr>
          <w:trHeight w:val="20"/>
        </w:trPr>
        <w:tc>
          <w:tcPr>
            <w:tcW w:w="9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C68FD15" w14:textId="77777777" w:rsidR="002F60F1" w:rsidRPr="004D7E7B" w:rsidRDefault="00000000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2.1. JAVNE ZELENE POVRŠINE                                                                                                                                   109.000,00</w:t>
            </w:r>
          </w:p>
        </w:tc>
      </w:tr>
      <w:tr w:rsidR="002E6609" w14:paraId="59D28CBF" w14:textId="77777777" w:rsidTr="005E3F44">
        <w:trPr>
          <w:trHeight w:val="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392D39A6" w14:textId="77777777" w:rsidR="002F60F1" w:rsidRPr="004D7E7B" w:rsidRDefault="00000000" w:rsidP="005E3F44">
            <w:pPr>
              <w:suppressAutoHyphens w:val="0"/>
              <w:autoSpaceDN/>
              <w:ind w:left="17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2.1.1.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17095AB1" w14:textId="77777777" w:rsidR="002F60F1" w:rsidRPr="004D7E7B" w:rsidRDefault="00000000" w:rsidP="005E3F44">
            <w:pPr>
              <w:suppressAutoHyphens w:val="0"/>
              <w:autoSpaceDN/>
              <w:ind w:left="2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GRADNJA DJEČJEG IGRALIŠTA U LUKEŽIMA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</w:tcPr>
          <w:p w14:paraId="5CE8F36B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35C5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K100932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C7F7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433F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37081871" w14:textId="77777777" w:rsidTr="005E3F44">
        <w:trPr>
          <w:trHeight w:val="20"/>
        </w:trPr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5273" w14:textId="77777777" w:rsidR="002F60F1" w:rsidRPr="004D7E7B" w:rsidRDefault="00000000" w:rsidP="005E3F44">
            <w:pPr>
              <w:suppressAutoHyphens w:val="0"/>
              <w:autoSpaceDN/>
              <w:ind w:left="2" w:right="425" w:hanging="1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gradnja 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0888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80.000,00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FB89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137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7E19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824A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2E6609" w14:paraId="7CAB5E9F" w14:textId="77777777" w:rsidTr="005E3F44">
        <w:trPr>
          <w:trHeight w:val="20"/>
        </w:trPr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6C6F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BFCE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27BE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58B4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Kapitalne pomoći - LAG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991A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75.000,00</w:t>
            </w:r>
          </w:p>
        </w:tc>
      </w:tr>
      <w:tr w:rsidR="002E6609" w14:paraId="38B2FC9F" w14:textId="77777777" w:rsidTr="005E3F44">
        <w:trPr>
          <w:trHeight w:val="20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F458" w14:textId="77777777" w:rsidR="002F60F1" w:rsidRPr="004D7E7B" w:rsidRDefault="00000000" w:rsidP="005E3F44">
            <w:pPr>
              <w:suppressAutoHyphens w:val="0"/>
              <w:autoSpaceDN/>
              <w:ind w:left="2" w:right="425" w:hanging="10"/>
              <w:jc w:val="both"/>
              <w:textAlignment w:val="auto"/>
              <w:rPr>
                <w:rFonts w:ascii="Arial" w:eastAsia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projektiranje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B419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 3.000,00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2502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173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965D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696A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2E6609" w14:paraId="5587D511" w14:textId="77777777" w:rsidTr="005E3F44">
        <w:trPr>
          <w:trHeight w:val="20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3601" w14:textId="77777777" w:rsidR="002F60F1" w:rsidRPr="004D7E7B" w:rsidRDefault="00000000" w:rsidP="005E3F44">
            <w:pPr>
              <w:suppressAutoHyphens w:val="0"/>
              <w:autoSpaceDN/>
              <w:ind w:right="425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A0D4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9E09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A1E1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Opći prihodi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E9B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2E6609" w14:paraId="5EDB3490" w14:textId="77777777" w:rsidTr="005E3F44">
        <w:trPr>
          <w:trHeight w:val="20"/>
        </w:trPr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D7F3" w14:textId="77777777" w:rsidR="002F60F1" w:rsidRPr="004D7E7B" w:rsidRDefault="00000000" w:rsidP="005E3F44">
            <w:pPr>
              <w:suppressAutoHyphens w:val="0"/>
              <w:autoSpaceDN/>
              <w:ind w:right="425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Uređaji, strojevi i oprema za ostale namjene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58E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E4E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0C81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Opći prihodi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865C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4.500,00</w:t>
            </w:r>
          </w:p>
        </w:tc>
      </w:tr>
      <w:tr w:rsidR="002E6609" w14:paraId="1907ECB6" w14:textId="77777777" w:rsidTr="005E3F44">
        <w:trPr>
          <w:trHeight w:val="20"/>
        </w:trPr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5A8C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655B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2C40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6512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Kapitalne pomoći - DP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4ADE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15.500,00</w:t>
            </w:r>
          </w:p>
        </w:tc>
      </w:tr>
    </w:tbl>
    <w:tbl>
      <w:tblPr>
        <w:tblStyle w:val="TableGrid"/>
        <w:tblW w:w="98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5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1006"/>
        <w:gridCol w:w="2035"/>
        <w:gridCol w:w="1407"/>
        <w:gridCol w:w="1274"/>
        <w:gridCol w:w="2410"/>
        <w:gridCol w:w="1746"/>
      </w:tblGrid>
      <w:tr w:rsidR="002E6609" w14:paraId="7B1F04E1" w14:textId="77777777" w:rsidTr="005E3F44">
        <w:trPr>
          <w:trHeight w:val="20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010AF39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 w:eastAsia="hr-HR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 w:eastAsia="hr-HR"/>
              </w:rPr>
              <w:t>2.2 GRAĐEVINE I UREĐAJI JAVNE NAMJENE                                                                                                                                  34.000,00</w:t>
            </w:r>
          </w:p>
        </w:tc>
      </w:tr>
      <w:tr w:rsidR="002E6609" w14:paraId="6EB213C6" w14:textId="77777777" w:rsidTr="005E3F44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700B3082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2.2.1.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7850E655" w14:textId="77777777" w:rsidR="002F60F1" w:rsidRPr="004D7E7B" w:rsidRDefault="00000000" w:rsidP="005E3F44">
            <w:pPr>
              <w:suppressAutoHyphens w:val="0"/>
              <w:autoSpaceDN/>
              <w:ind w:left="5" w:right="425" w:hanging="11"/>
              <w:jc w:val="both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AUTOBUSNA STANICA PODHUM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52A13580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0D8E5BA0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</w:tcPr>
          <w:p w14:paraId="295DC0B9" w14:textId="77777777" w:rsidR="002F60F1" w:rsidRPr="004D7E7B" w:rsidRDefault="002F60F1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</w:tcPr>
          <w:p w14:paraId="0CB74A82" w14:textId="77777777" w:rsidR="002F60F1" w:rsidRPr="004D7E7B" w:rsidRDefault="002F60F1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E6609" w14:paraId="03408788" w14:textId="77777777" w:rsidTr="005E3F44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40AD75C3" w14:textId="77777777" w:rsidR="002F60F1" w:rsidRPr="004D7E7B" w:rsidRDefault="00000000" w:rsidP="005E3F44">
            <w:pPr>
              <w:suppressAutoHyphens w:val="0"/>
              <w:autoSpaceDN/>
              <w:ind w:left="5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građevinski objekti</w:t>
            </w: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598B83CB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584BE74C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72F545AB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Doprinos za šume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467EA303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</w:tr>
      <w:tr w:rsidR="002E6609" w14:paraId="235F8027" w14:textId="77777777" w:rsidTr="005E3F44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5D9C0CEC" w14:textId="77777777" w:rsidR="002F60F1" w:rsidRPr="004D7E7B" w:rsidRDefault="00000000" w:rsidP="005E3F44">
            <w:pPr>
              <w:suppressAutoHyphens w:val="0"/>
              <w:autoSpaceDN/>
              <w:ind w:left="5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Ostala nematerijalna proizvedena </w:t>
            </w: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imovina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46A8B37F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16.000,00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50FADFFC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436FA003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Doprinos za šume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2C5A6849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</w:tr>
      <w:tr w:rsidR="002E6609" w14:paraId="3A732E97" w14:textId="77777777" w:rsidTr="005E3F44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21C42486" w14:textId="77777777" w:rsidR="002F60F1" w:rsidRPr="004D7E7B" w:rsidRDefault="00000000" w:rsidP="005E3F44">
            <w:pPr>
              <w:suppressAutoHyphens w:val="0"/>
              <w:autoSpaceDN/>
              <w:ind w:left="5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7CB9DFAC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01C6D621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44116137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Opći prihodi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104" w:type="dxa"/>
              <w:bottom w:w="0" w:type="dxa"/>
              <w:right w:w="64" w:type="dxa"/>
            </w:tcMar>
            <w:vAlign w:val="center"/>
            <w:hideMark/>
          </w:tcPr>
          <w:p w14:paraId="69CB61C8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</w:tbl>
    <w:p w14:paraId="6FCF3723" w14:textId="77777777" w:rsidR="002F60F1" w:rsidRPr="004D7E7B" w:rsidRDefault="002F60F1" w:rsidP="002F60F1">
      <w:pPr>
        <w:suppressAutoHyphens w:val="0"/>
        <w:autoSpaceDN/>
        <w:spacing w:after="120" w:line="256" w:lineRule="auto"/>
        <w:ind w:left="564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sz w:val="16"/>
          <w:szCs w:val="16"/>
          <w:lang w:eastAsia="hr-HR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92"/>
        <w:tblW w:w="9918" w:type="dxa"/>
        <w:tblInd w:w="0" w:type="dxa"/>
        <w:tblBorders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  <w:insideH w:val="single" w:sz="4" w:space="0" w:color="181717"/>
          <w:insideV w:val="single" w:sz="4" w:space="0" w:color="181717"/>
        </w:tblBorders>
        <w:tblCellMar>
          <w:top w:w="40" w:type="dxa"/>
          <w:left w:w="80" w:type="dxa"/>
          <w:right w:w="43" w:type="dxa"/>
        </w:tblCellMar>
        <w:tblLook w:val="04A0" w:firstRow="1" w:lastRow="0" w:firstColumn="1" w:lastColumn="0" w:noHBand="0" w:noVBand="1"/>
      </w:tblPr>
      <w:tblGrid>
        <w:gridCol w:w="963"/>
        <w:gridCol w:w="2920"/>
        <w:gridCol w:w="1361"/>
        <w:gridCol w:w="1201"/>
        <w:gridCol w:w="1995"/>
        <w:gridCol w:w="1478"/>
      </w:tblGrid>
      <w:tr w:rsidR="002E6609" w14:paraId="70EAC53A" w14:textId="77777777" w:rsidTr="005E3F44">
        <w:tc>
          <w:tcPr>
            <w:tcW w:w="9918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5E0B3"/>
            <w:hideMark/>
          </w:tcPr>
          <w:p w14:paraId="7B832336" w14:textId="77777777" w:rsidR="002F60F1" w:rsidRPr="004D7E7B" w:rsidRDefault="00000000" w:rsidP="005E3F44">
            <w:pPr>
              <w:suppressAutoHyphens w:val="0"/>
              <w:autoSpaceDN/>
              <w:ind w:left="22" w:right="425" w:hanging="11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3. IZGRADNJA GRAĐEVINA KOMUNALNE INFRASTRUKTURE IZVAN GRAĐEVINSKIH PODRUČJA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    </w:t>
            </w: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hr-HR"/>
              </w:rPr>
              <w:t xml:space="preserve">                131.000,00</w:t>
            </w:r>
          </w:p>
        </w:tc>
      </w:tr>
      <w:tr w:rsidR="002E6609" w14:paraId="1E5DE7B3" w14:textId="77777777" w:rsidTr="005E3F44">
        <w:tc>
          <w:tcPr>
            <w:tcW w:w="9918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2EFD9"/>
            <w:hideMark/>
          </w:tcPr>
          <w:p w14:paraId="799D3096" w14:textId="77777777" w:rsidR="002F60F1" w:rsidRPr="004D7E7B" w:rsidRDefault="00000000" w:rsidP="005E3F44">
            <w:pPr>
              <w:tabs>
                <w:tab w:val="left" w:pos="1150"/>
              </w:tabs>
              <w:suppressAutoHyphens w:val="0"/>
              <w:autoSpaceDN/>
              <w:spacing w:line="256" w:lineRule="auto"/>
              <w:ind w:left="23" w:right="425" w:hanging="11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 xml:space="preserve">3.1. ZELENE POVRŠINE NA KOJIMA NIJE DOPUŠTEN PROMET MOTORNIM VOZILIMA       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 xml:space="preserve">     </w:t>
            </w: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 xml:space="preserve">                            131.000,00</w:t>
            </w:r>
          </w:p>
        </w:tc>
      </w:tr>
      <w:tr w:rsidR="002E6609" w14:paraId="706C5359" w14:textId="77777777" w:rsidTr="005E3F44">
        <w:tc>
          <w:tcPr>
            <w:tcW w:w="8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4F2F1"/>
            <w:vAlign w:val="center"/>
            <w:hideMark/>
          </w:tcPr>
          <w:p w14:paraId="138E8596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4" w:right="425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1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4F2F1"/>
            <w:vAlign w:val="center"/>
            <w:hideMark/>
          </w:tcPr>
          <w:p w14:paraId="5DA790E0" w14:textId="77777777" w:rsidR="002F60F1" w:rsidRPr="00D0010D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pt-BR"/>
              </w:rPr>
            </w:pPr>
            <w:r w:rsidRPr="00D0010D"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  <w:t>IZGRADNJ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  <w:t>A</w:t>
            </w:r>
            <w:r w:rsidRPr="00D0010D"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  <w:t xml:space="preserve"> I OPREMANJE CIKLO-TRAIL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D0010D"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  <w:t>CENTRA RASTOČINE</w:t>
            </w:r>
          </w:p>
        </w:tc>
        <w:tc>
          <w:tcPr>
            <w:tcW w:w="11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4F2F1"/>
            <w:vAlign w:val="center"/>
            <w:hideMark/>
          </w:tcPr>
          <w:p w14:paraId="006DC2DC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28.000,00 </w:t>
            </w:r>
          </w:p>
        </w:tc>
        <w:tc>
          <w:tcPr>
            <w:tcW w:w="1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DD93177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K1009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0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4B56E8" w14:textId="77777777" w:rsidR="002F60F1" w:rsidRPr="004D7E7B" w:rsidRDefault="002F60F1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551DBDC" w14:textId="77777777" w:rsidR="002F60F1" w:rsidRPr="004D7E7B" w:rsidRDefault="002F60F1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55746702" w14:textId="77777777" w:rsidTr="005E3F44">
        <w:tc>
          <w:tcPr>
            <w:tcW w:w="395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6C661AA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projektiranje</w:t>
            </w:r>
          </w:p>
        </w:tc>
        <w:tc>
          <w:tcPr>
            <w:tcW w:w="11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39D72A1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20.000,00 </w:t>
            </w:r>
          </w:p>
        </w:tc>
        <w:tc>
          <w:tcPr>
            <w:tcW w:w="1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4A4342FC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0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16D95BE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Opći prihodi</w:t>
            </w:r>
          </w:p>
        </w:tc>
        <w:tc>
          <w:tcPr>
            <w:tcW w:w="15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416457C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E6609" w14:paraId="656E1256" w14:textId="77777777" w:rsidTr="005E3F44">
        <w:tc>
          <w:tcPr>
            <w:tcW w:w="395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DA0A412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i/>
                <w:iCs/>
                <w:color w:val="000000"/>
                <w:sz w:val="16"/>
                <w:szCs w:val="16"/>
              </w:rPr>
              <w:t>oprema</w:t>
            </w:r>
          </w:p>
        </w:tc>
        <w:tc>
          <w:tcPr>
            <w:tcW w:w="11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6C33967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8.000,00 </w:t>
            </w:r>
          </w:p>
        </w:tc>
        <w:tc>
          <w:tcPr>
            <w:tcW w:w="1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4A7E0FCA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1309D62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pomoći iz DP – fiskalno izravnjanje</w:t>
            </w:r>
          </w:p>
        </w:tc>
        <w:tc>
          <w:tcPr>
            <w:tcW w:w="15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2112B31D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E6609" w14:paraId="748729B6" w14:textId="77777777" w:rsidTr="005E3F44">
        <w:tc>
          <w:tcPr>
            <w:tcW w:w="8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4F2F1"/>
            <w:vAlign w:val="center"/>
            <w:hideMark/>
          </w:tcPr>
          <w:p w14:paraId="4AC24CED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4" w:right="425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31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4F2F1"/>
            <w:vAlign w:val="center"/>
            <w:hideMark/>
          </w:tcPr>
          <w:p w14:paraId="1B0DF837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Uređenje Kalića i  opremanje planinarskih turističkih staza  </w:t>
            </w:r>
          </w:p>
        </w:tc>
        <w:tc>
          <w:tcPr>
            <w:tcW w:w="11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4F2F1"/>
            <w:vAlign w:val="center"/>
            <w:hideMark/>
          </w:tcPr>
          <w:p w14:paraId="01F820D7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103.000,00 </w:t>
            </w:r>
          </w:p>
        </w:tc>
        <w:tc>
          <w:tcPr>
            <w:tcW w:w="1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71076D4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K100935</w:t>
            </w:r>
          </w:p>
          <w:p w14:paraId="3DAB68A0" w14:textId="77777777" w:rsidR="002F60F1" w:rsidRPr="004D7E7B" w:rsidRDefault="002F60F1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D9A926" w14:textId="77777777" w:rsidR="002F60F1" w:rsidRPr="004D7E7B" w:rsidRDefault="002F60F1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03B0DA5" w14:textId="77777777" w:rsidR="002F60F1" w:rsidRPr="004D7E7B" w:rsidRDefault="002F60F1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6AD89137" w14:textId="77777777" w:rsidTr="005E3F44">
        <w:tc>
          <w:tcPr>
            <w:tcW w:w="3951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05822DC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gradnja</w:t>
            </w:r>
          </w:p>
        </w:tc>
        <w:tc>
          <w:tcPr>
            <w:tcW w:w="117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03DF776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100.000,00 </w:t>
            </w:r>
          </w:p>
        </w:tc>
        <w:tc>
          <w:tcPr>
            <w:tcW w:w="120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44B43C8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287  </w:t>
            </w: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ab/>
              <w:t xml:space="preserve">  </w:t>
            </w: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ab/>
              <w:t xml:space="preserve">  </w:t>
            </w:r>
          </w:p>
        </w:tc>
        <w:tc>
          <w:tcPr>
            <w:tcW w:w="20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67436B0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Opći prihodi</w:t>
            </w:r>
          </w:p>
        </w:tc>
        <w:tc>
          <w:tcPr>
            <w:tcW w:w="15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362A820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E6609" w14:paraId="5FD18601" w14:textId="77777777" w:rsidTr="005E3F44">
        <w:tc>
          <w:tcPr>
            <w:tcW w:w="0" w:type="auto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1147D0A9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B1CA99B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5A35A5A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6CE0DA1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Kapitalne pomoći temeljem prijenosa EU</w:t>
            </w:r>
          </w:p>
        </w:tc>
        <w:tc>
          <w:tcPr>
            <w:tcW w:w="15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9EDB8A5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2E6609" w14:paraId="541FC4D6" w14:textId="77777777" w:rsidTr="005E3F44">
        <w:tc>
          <w:tcPr>
            <w:tcW w:w="395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40EBC11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i/>
                <w:iCs/>
                <w:color w:val="000000"/>
                <w:sz w:val="16"/>
                <w:szCs w:val="16"/>
              </w:rPr>
              <w:t>projektiranje</w:t>
            </w:r>
          </w:p>
        </w:tc>
        <w:tc>
          <w:tcPr>
            <w:tcW w:w="11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4519AA3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3.000,00 </w:t>
            </w:r>
          </w:p>
        </w:tc>
        <w:tc>
          <w:tcPr>
            <w:tcW w:w="12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9A63D7A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289  </w:t>
            </w: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ab/>
              <w:t xml:space="preserve">  </w:t>
            </w: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ab/>
              <w:t xml:space="preserve">  </w:t>
            </w:r>
          </w:p>
        </w:tc>
        <w:tc>
          <w:tcPr>
            <w:tcW w:w="20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9913821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Kapitalne pomoći temeljem prijenosa EU</w:t>
            </w:r>
          </w:p>
        </w:tc>
        <w:tc>
          <w:tcPr>
            <w:tcW w:w="15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323166A" w14:textId="77777777" w:rsidR="002F60F1" w:rsidRPr="004D7E7B" w:rsidRDefault="00000000" w:rsidP="005E3F44">
            <w:pPr>
              <w:suppressAutoHyphens w:val="0"/>
              <w:autoSpaceDN/>
              <w:spacing w:line="256" w:lineRule="auto"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</w:tbl>
    <w:p w14:paraId="61CF27E6" w14:textId="77777777" w:rsidR="002F60F1" w:rsidRPr="004D7E7B" w:rsidRDefault="002F60F1" w:rsidP="002F60F1">
      <w:pPr>
        <w:suppressAutoHyphens w:val="0"/>
        <w:autoSpaceDN/>
        <w:spacing w:after="120" w:line="256" w:lineRule="auto"/>
        <w:ind w:left="564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sz w:val="16"/>
          <w:szCs w:val="16"/>
          <w:lang w:eastAsia="hr-HR"/>
          <w14:ligatures w14:val="standardContextual"/>
        </w:rPr>
      </w:pPr>
    </w:p>
    <w:tbl>
      <w:tblPr>
        <w:tblStyle w:val="TableGrid"/>
        <w:tblW w:w="10049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129"/>
        <w:gridCol w:w="2404"/>
        <w:gridCol w:w="1785"/>
        <w:gridCol w:w="1252"/>
        <w:gridCol w:w="1885"/>
        <w:gridCol w:w="1594"/>
      </w:tblGrid>
      <w:tr w:rsidR="002E6609" w14:paraId="557843BA" w14:textId="77777777" w:rsidTr="005E3F44">
        <w:trPr>
          <w:trHeight w:val="20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33A7A72" w14:textId="77777777" w:rsidR="002F60F1" w:rsidRPr="004D7E7B" w:rsidRDefault="00000000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>4. REKONSTRUKCIJA POSTOJEĆIH GRAĐEVINA KOMUNALNE INFRASTRUKTURE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ab/>
              <w:t xml:space="preserve">              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ab/>
              <w:t>3</w:t>
            </w: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>92.0000,00</w:t>
            </w:r>
          </w:p>
        </w:tc>
      </w:tr>
      <w:tr w:rsidR="002E6609" w14:paraId="64FF6C4D" w14:textId="77777777" w:rsidTr="005E3F44">
        <w:trPr>
          <w:trHeight w:val="20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1CB080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4.1. NERAZVRSTANE CESTE 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</w:t>
            </w: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252.000,00</w:t>
            </w: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2E6609" w14:paraId="3E6EC6F3" w14:textId="77777777" w:rsidTr="005E3F4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35EAA090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4.1.1.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</w:tcPr>
          <w:p w14:paraId="051E95F3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REKONSTRUKCIJA NC</w:t>
            </w:r>
          </w:p>
          <w:p w14:paraId="016B3265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 MOLNARI-DRAŽICE </w:t>
            </w:r>
          </w:p>
          <w:p w14:paraId="0878F921" w14:textId="77777777" w:rsidR="002F60F1" w:rsidRPr="004D7E7B" w:rsidRDefault="002F60F1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23FA0F74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11.000,00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976A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K100922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D86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84D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1B72A370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1BDD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gradnja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C0FB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10.000,00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32E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99F7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6EAD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6609" w14:paraId="547B411F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C932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both"/>
              <w:textAlignment w:val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projektiranje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3DE9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D6B4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A708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D0A0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E6609" w14:paraId="53576337" w14:textId="77777777" w:rsidTr="005E3F4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177E288B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4.1.2.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</w:tcPr>
          <w:p w14:paraId="5DE60DA6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REKONSTRUKCIJA DIJELA NC</w:t>
            </w:r>
          </w:p>
          <w:p w14:paraId="5DA67923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UMOLE-MOLNARI</w:t>
            </w:r>
          </w:p>
          <w:p w14:paraId="568219C4" w14:textId="77777777" w:rsidR="002F60F1" w:rsidRPr="004D7E7B" w:rsidRDefault="002F60F1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58235D2D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11.000,00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738B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K100924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806E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A2C7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2841D976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144A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  gradnja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3685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10.000,00   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6BC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7481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5027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6609" w14:paraId="0682091E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4FEC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4D7E7B">
              <w:rPr>
                <w:rFonts w:ascii="Arial" w:eastAsia="Arial" w:hAnsi="Arial" w:cs="Arial"/>
                <w:bCs/>
                <w:i/>
                <w:iCs/>
                <w:color w:val="000000"/>
                <w:sz w:val="16"/>
                <w:szCs w:val="16"/>
              </w:rPr>
              <w:t>projektiranje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D239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  1.000,00  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A51C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E53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Komunalni doprinos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12B8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E6609" w14:paraId="0B066E37" w14:textId="77777777" w:rsidTr="005E3F4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45A4896F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4.1.3.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54393061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REKONSTRUKCIJA NC</w:t>
            </w:r>
          </w:p>
          <w:p w14:paraId="3101D6E6" w14:textId="77777777" w:rsidR="002F60F1" w:rsidRPr="004D7E7B" w:rsidRDefault="00000000" w:rsidP="005E3F44">
            <w:pPr>
              <w:suppressAutoHyphens w:val="0"/>
              <w:autoSpaceDN/>
              <w:ind w:left="11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U PODHUMU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2E9E1158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30.000,00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2401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K100928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F555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5D8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7676E1DD" w14:textId="77777777" w:rsidTr="005E3F44">
        <w:trPr>
          <w:trHeight w:val="20"/>
        </w:trPr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F971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4D7E7B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gradnja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624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EE7F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217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598D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Komunalni doprinos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40C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2E6609" w14:paraId="38D5135F" w14:textId="77777777" w:rsidTr="005E3F44">
        <w:trPr>
          <w:trHeight w:val="20"/>
        </w:trPr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D7E4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225D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3023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8D59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Kapitalne pomoći iz DP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78FB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6609" w14:paraId="4DA7E8CA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E359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projektiranje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C43F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627A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C800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Opći prihodi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6E23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E6609" w14:paraId="33FB8645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7070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5778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8E2E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50A8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Opći prihodi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D9F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E6609" w14:paraId="6B6AE06D" w14:textId="77777777" w:rsidTr="005E3F4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535ACB50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4.1.4.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5D368DC5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REKONSTRUKCIJA NC</w:t>
            </w:r>
          </w:p>
          <w:p w14:paraId="10E9AEAA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U PODKILAVCU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6FDE590A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D80F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K100929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8200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2FF1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4D0FFBDA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B86B" w14:textId="77777777" w:rsidR="002F60F1" w:rsidRPr="004D7E7B" w:rsidRDefault="00000000" w:rsidP="005E3F44">
            <w:pPr>
              <w:tabs>
                <w:tab w:val="center" w:pos="187"/>
                <w:tab w:val="right" w:pos="3910"/>
              </w:tabs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  gradnja </w:t>
            </w:r>
          </w:p>
          <w:p w14:paraId="2E1FE6C5" w14:textId="77777777" w:rsidR="002F60F1" w:rsidRPr="004D7E7B" w:rsidRDefault="002F60F1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DDD3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9B5B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218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B245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Komunalni doprinos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F47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E6609" w14:paraId="3CAF58B8" w14:textId="77777777" w:rsidTr="005E3F4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793DC1BE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4.1.5.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513E9746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REKONSTRUKCIJA NC</w:t>
            </w:r>
          </w:p>
          <w:p w14:paraId="693E3F01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U JELENJU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1403FCC1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477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K100930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16B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0E8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05B8A2A8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F06" w14:textId="77777777" w:rsidR="002F60F1" w:rsidRPr="004D7E7B" w:rsidRDefault="00000000" w:rsidP="005E3F44">
            <w:pPr>
              <w:tabs>
                <w:tab w:val="center" w:pos="187"/>
                <w:tab w:val="right" w:pos="3910"/>
              </w:tabs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  gradnja </w:t>
            </w:r>
          </w:p>
          <w:p w14:paraId="3C0F0D66" w14:textId="77777777" w:rsidR="002F60F1" w:rsidRPr="004D7E7B" w:rsidRDefault="002F60F1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E230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2701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219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037E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Komunalni doprinos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C01B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E6609" w14:paraId="1B306203" w14:textId="77777777" w:rsidTr="005E3F4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1744A827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4.1.6.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3FF39E95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REKONSTRUKCIJA NC</w:t>
            </w:r>
          </w:p>
          <w:p w14:paraId="00179FBC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U DRAŽICAMA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2557AE77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C36E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K100931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1CEA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18F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0E165825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8B2" w14:textId="77777777" w:rsidR="002F60F1" w:rsidRPr="004D7E7B" w:rsidRDefault="00000000" w:rsidP="005E3F44">
            <w:pPr>
              <w:tabs>
                <w:tab w:val="center" w:pos="187"/>
                <w:tab w:val="right" w:pos="3910"/>
              </w:tabs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  gradnja </w:t>
            </w:r>
          </w:p>
          <w:p w14:paraId="1581E2B5" w14:textId="77777777" w:rsidR="002F60F1" w:rsidRPr="004D7E7B" w:rsidRDefault="002F60F1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FC84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27B9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C0E4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DF1F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E6609" w14:paraId="4F5E9216" w14:textId="77777777" w:rsidTr="005E3F4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0A40398B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4.1.7.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5CEC4284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REKONSTRUKCIJA NC</w:t>
            </w:r>
          </w:p>
          <w:p w14:paraId="6EC0A48E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U LUKEŽIMA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6F75DD49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238C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K100938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663B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E45C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2E6609" w14:paraId="2913254A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8B6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  gradnja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BC5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1093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AF5F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Komunalni doprinos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8C6D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6609" w14:paraId="3A6DFD7B" w14:textId="77777777" w:rsidTr="005E3F4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5E8A4CBE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4.1.8.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7AAEEC16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REKONSTRUKCIJA NC</w:t>
            </w:r>
          </w:p>
          <w:p w14:paraId="23A40ABE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U BRNELIĆIMA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673CF383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D649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K100934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855D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844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6459EB51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3D5D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gradnja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DEEA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B7D0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6353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Komunalni doprinos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7345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6609" w14:paraId="77F2A3F3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66AD" w14:textId="77777777" w:rsidR="002F60F1" w:rsidRPr="004D7E7B" w:rsidRDefault="00000000" w:rsidP="005E3F44">
            <w:pPr>
              <w:tabs>
                <w:tab w:val="center" w:pos="187"/>
                <w:tab w:val="right" w:pos="3910"/>
              </w:tabs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4.1.9    REKONSTRUKCIJA          NC U ZORETIĆIMA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FC66" w14:textId="77777777" w:rsidR="002F60F1" w:rsidRPr="004D7E7B" w:rsidRDefault="00000000" w:rsidP="005E3F44">
            <w:pPr>
              <w:suppressAutoHyphens w:val="0"/>
              <w:autoSpaceDN/>
              <w:ind w:left="2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         </w:t>
            </w: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B112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K100942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51E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E81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3B0BDC48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A05B" w14:textId="77777777" w:rsidR="002F60F1" w:rsidRPr="004D7E7B" w:rsidRDefault="00000000" w:rsidP="005E3F44">
            <w:pPr>
              <w:tabs>
                <w:tab w:val="center" w:pos="187"/>
                <w:tab w:val="right" w:pos="3910"/>
              </w:tabs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gradnja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9F4C" w14:textId="77777777" w:rsidR="002F60F1" w:rsidRPr="004D7E7B" w:rsidRDefault="00000000" w:rsidP="005E3F44">
            <w:pPr>
              <w:suppressAutoHyphens w:val="0"/>
              <w:autoSpaceDN/>
              <w:ind w:left="2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         10.000,00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F11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7F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0294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6609" w14:paraId="080F5A47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7B04" w14:textId="77777777" w:rsidR="002F60F1" w:rsidRPr="004D7E7B" w:rsidRDefault="00000000" w:rsidP="005E3F44">
            <w:pPr>
              <w:tabs>
                <w:tab w:val="center" w:pos="187"/>
                <w:tab w:val="right" w:pos="3910"/>
              </w:tabs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4.1.10. IZGRADNJA VODOVODNE MREŽE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1F85" w14:textId="77777777" w:rsidR="002F60F1" w:rsidRPr="004D7E7B" w:rsidRDefault="00000000" w:rsidP="005E3F44">
            <w:pPr>
              <w:suppressAutoHyphens w:val="0"/>
              <w:autoSpaceDN/>
              <w:ind w:left="2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0DB5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K100939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ACE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790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09426F1E" w14:textId="77777777" w:rsidTr="005E3F44">
        <w:trPr>
          <w:trHeight w:val="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1CE6" w14:textId="77777777" w:rsidR="002F60F1" w:rsidRPr="004D7E7B" w:rsidRDefault="00000000" w:rsidP="005E3F44">
            <w:pPr>
              <w:tabs>
                <w:tab w:val="center" w:pos="187"/>
                <w:tab w:val="right" w:pos="3910"/>
              </w:tabs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pl-PL" w:eastAsia="hr-HR"/>
              </w:rPr>
              <w:t xml:space="preserve">Kapitalne pomoći kreditnim i ost.fin.inst. te </w:t>
            </w: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pl-PL" w:eastAsia="hr-HR"/>
              </w:rPr>
              <w:lastRenderedPageBreak/>
              <w:t>trg.društvima u javnom sektoru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8BDB" w14:textId="77777777" w:rsidR="002F60F1" w:rsidRPr="004D7E7B" w:rsidRDefault="00000000" w:rsidP="005E3F44">
            <w:pPr>
              <w:suppressAutoHyphens w:val="0"/>
              <w:autoSpaceDN/>
              <w:ind w:left="2" w:right="425" w:hanging="10"/>
              <w:jc w:val="right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70.000,00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246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6713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Opći prihodi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0DDB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2E6609" w14:paraId="1E83D554" w14:textId="77777777" w:rsidTr="005E3F44">
        <w:trPr>
          <w:trHeight w:val="20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67" w:type="dxa"/>
              <w:left w:w="105" w:type="dxa"/>
              <w:bottom w:w="0" w:type="dxa"/>
              <w:right w:w="65" w:type="dxa"/>
            </w:tcMar>
            <w:hideMark/>
          </w:tcPr>
          <w:p w14:paraId="54AD7C3B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pl-PL"/>
              </w:rPr>
              <w:t>4.2. IZGRADNJA I DODATNO ULAGANJE U GROBLJE                                                                                                130.000,00</w:t>
            </w:r>
          </w:p>
        </w:tc>
      </w:tr>
      <w:tr w:rsidR="002E6609" w14:paraId="79CF2276" w14:textId="77777777" w:rsidTr="005E3F44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429BAE97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4.2.1. 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69859DBC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Proširenje groblja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46012F0E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0C4B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K100903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BC8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55AA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2E6609" w14:paraId="2A99C538" w14:textId="77777777" w:rsidTr="005E3F44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028E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B476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986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377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8308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Komunalni doprinos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B7FA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2E6609" w14:paraId="6AE95BC5" w14:textId="77777777" w:rsidTr="005E3F44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F30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A6F9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4C76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38F0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2295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8E56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2E6609" w14:paraId="4DCCD745" w14:textId="77777777" w:rsidTr="005E3F44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8F60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249F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E44C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E6BE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42A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Naknada za grobno mjesto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617E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21.000,00</w:t>
            </w:r>
          </w:p>
        </w:tc>
      </w:tr>
      <w:tr w:rsidR="002E6609" w14:paraId="75B96E80" w14:textId="77777777" w:rsidTr="005E3F4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466B4A42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4.2.2.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1D0C97CD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Projektiranje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07285470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12AC" w14:textId="77777777" w:rsidR="002F60F1" w:rsidRPr="004D7E7B" w:rsidRDefault="00000000" w:rsidP="005E3F44">
            <w:pPr>
              <w:suppressAutoHyphens w:val="0"/>
              <w:autoSpaceDN/>
              <w:ind w:right="425"/>
              <w:jc w:val="both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1CFC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DAD9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6609" w14:paraId="233D81EE" w14:textId="77777777" w:rsidTr="005E3F44">
        <w:trPr>
          <w:trHeight w:val="20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5D12320" w14:textId="77777777" w:rsidR="002F60F1" w:rsidRPr="004D7E7B" w:rsidRDefault="00000000" w:rsidP="005E3F44">
            <w:pPr>
              <w:tabs>
                <w:tab w:val="center" w:pos="187"/>
                <w:tab w:val="right" w:pos="3910"/>
              </w:tabs>
              <w:suppressAutoHyphens w:val="0"/>
              <w:autoSpaceDN/>
              <w:ind w:left="23" w:right="425" w:hanging="10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4.3. JAVNA RASVJETA                                                                                                                                                          10.000,00</w:t>
            </w:r>
          </w:p>
        </w:tc>
      </w:tr>
      <w:tr w:rsidR="002E6609" w14:paraId="12A4F977" w14:textId="77777777" w:rsidTr="005E3F44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09AE523E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both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4.3.1. 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hideMark/>
          </w:tcPr>
          <w:p w14:paraId="7F95D2A3" w14:textId="77777777" w:rsidR="002F60F1" w:rsidRPr="004D7E7B" w:rsidRDefault="00000000" w:rsidP="005E3F44">
            <w:pPr>
              <w:suppressAutoHyphens w:val="0"/>
              <w:autoSpaceDN/>
              <w:ind w:left="5" w:right="425" w:hanging="10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Gradnja javne rasvjete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1"/>
            <w:vAlign w:val="center"/>
            <w:hideMark/>
          </w:tcPr>
          <w:p w14:paraId="31BEA74F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158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K100916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A066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D3F" w14:textId="77777777" w:rsidR="002F60F1" w:rsidRPr="004D7E7B" w:rsidRDefault="002F60F1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493F3712" w14:textId="77777777" w:rsidTr="005E3F44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F9F5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20E5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B275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EDFE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3204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Komunalni doprinos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B053" w14:textId="77777777" w:rsidR="002F60F1" w:rsidRPr="004D7E7B" w:rsidRDefault="00000000" w:rsidP="005E3F44">
            <w:pPr>
              <w:suppressAutoHyphens w:val="0"/>
              <w:autoSpaceDN/>
              <w:ind w:left="23" w:right="425" w:hanging="10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</w:tbl>
    <w:p w14:paraId="19307BFE" w14:textId="77777777" w:rsidR="002F60F1" w:rsidRPr="004D7E7B" w:rsidRDefault="00000000" w:rsidP="002F60F1">
      <w:pPr>
        <w:suppressAutoHyphens w:val="0"/>
        <w:autoSpaceDN/>
        <w:spacing w:after="120" w:line="256" w:lineRule="auto"/>
        <w:ind w:left="628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sz w:val="16"/>
          <w:szCs w:val="16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sz w:val="16"/>
          <w:szCs w:val="16"/>
          <w:lang w:eastAsia="hr-HR"/>
          <w14:ligatures w14:val="standardContextual"/>
        </w:rPr>
        <w:t xml:space="preserve"> </w:t>
      </w:r>
    </w:p>
    <w:p w14:paraId="74117991" w14:textId="77777777" w:rsidR="002F60F1" w:rsidRPr="004D7E7B" w:rsidRDefault="00000000" w:rsidP="002F60F1">
      <w:pPr>
        <w:suppressAutoHyphens w:val="0"/>
        <w:autoSpaceDN/>
        <w:spacing w:after="120" w:line="256" w:lineRule="auto"/>
        <w:ind w:left="621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sz w:val="16"/>
          <w:szCs w:val="16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sz w:val="16"/>
          <w:szCs w:val="16"/>
          <w:lang w:eastAsia="hr-HR"/>
          <w14:ligatures w14:val="standardContextual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104" w:type="dxa"/>
          <w:right w:w="64" w:type="dxa"/>
        </w:tblCellMar>
        <w:tblLook w:val="04A0" w:firstRow="1" w:lastRow="0" w:firstColumn="1" w:lastColumn="0" w:noHBand="0" w:noVBand="1"/>
      </w:tblPr>
      <w:tblGrid>
        <w:gridCol w:w="872"/>
        <w:gridCol w:w="2302"/>
        <w:gridCol w:w="1859"/>
        <w:gridCol w:w="1246"/>
        <w:gridCol w:w="2031"/>
        <w:gridCol w:w="1613"/>
      </w:tblGrid>
      <w:tr w:rsidR="002E6609" w14:paraId="698709BF" w14:textId="77777777" w:rsidTr="005E3F44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D7195A7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5. OSTALO                                                                        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</w:t>
            </w:r>
            <w:r w:rsidRPr="004D7E7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51.000,00  </w:t>
            </w:r>
          </w:p>
        </w:tc>
      </w:tr>
      <w:tr w:rsidR="002E6609" w14:paraId="05D78FFC" w14:textId="77777777" w:rsidTr="005E3F44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DBAB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35EA" w14:textId="77777777" w:rsidR="002F60F1" w:rsidRPr="004D7E7B" w:rsidRDefault="00000000" w:rsidP="005E3F44">
            <w:pPr>
              <w:suppressAutoHyphens w:val="0"/>
              <w:autoSpaceDN/>
              <w:ind w:left="5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Ostala dodatna ulaganja u gradnju komunalne infrastrukture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4985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424B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K100936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BF5" w14:textId="77777777" w:rsidR="002F60F1" w:rsidRPr="004D7E7B" w:rsidRDefault="002F60F1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F22" w14:textId="77777777" w:rsidR="002F60F1" w:rsidRPr="004D7E7B" w:rsidRDefault="002F60F1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7C1E3E81" w14:textId="77777777" w:rsidTr="005E3F4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67ED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BD78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A4A6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380B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B944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Tekuće pomoći iz DP – fiskalno izravnanje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332E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E6609" w14:paraId="2BA0E647" w14:textId="77777777" w:rsidTr="005E3F4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D00D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5FDC" w14:textId="77777777" w:rsidR="002F60F1" w:rsidRPr="004D7E7B" w:rsidRDefault="00000000" w:rsidP="005E3F44">
            <w:pPr>
              <w:suppressAutoHyphens w:val="0"/>
              <w:autoSpaceDN/>
              <w:ind w:left="5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Uređaji, strojevi i oprema za ostale namjene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4C4C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BD20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K100936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355" w14:textId="77777777" w:rsidR="002F60F1" w:rsidRPr="004D7E7B" w:rsidRDefault="002F60F1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D47F" w14:textId="77777777" w:rsidR="002F60F1" w:rsidRPr="004D7E7B" w:rsidRDefault="002F60F1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E6609" w14:paraId="4859E49B" w14:textId="77777777" w:rsidTr="005E3F4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F8F9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57BB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4A4C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347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8113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9E47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E6609" w14:paraId="195A9FB3" w14:textId="77777777" w:rsidTr="005E3F44">
        <w:trPr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EDD8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41A6" w14:textId="77777777" w:rsidR="002F60F1" w:rsidRPr="004D7E7B" w:rsidRDefault="00000000" w:rsidP="005E3F44">
            <w:pPr>
              <w:suppressAutoHyphens w:val="0"/>
              <w:autoSpaceDN/>
              <w:ind w:left="5" w:right="425" w:hanging="11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Registar nerazvrstanih cesta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5066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43C1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K100936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FC3" w14:textId="77777777" w:rsidR="002F60F1" w:rsidRPr="004D7E7B" w:rsidRDefault="002F60F1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512" w14:textId="77777777" w:rsidR="002F60F1" w:rsidRPr="004D7E7B" w:rsidRDefault="002F60F1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2E6609" w14:paraId="5E98C425" w14:textId="77777777" w:rsidTr="005E3F4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48AE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0CF5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F35C" w14:textId="77777777" w:rsidR="002F60F1" w:rsidRPr="004D7E7B" w:rsidRDefault="002F60F1" w:rsidP="005E3F44">
            <w:pPr>
              <w:suppressAutoHyphens w:val="0"/>
              <w:autoSpaceDN/>
              <w:ind w:right="425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00E5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F6F5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Opći prihodi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DD76" w14:textId="77777777" w:rsidR="002F60F1" w:rsidRPr="004D7E7B" w:rsidRDefault="00000000" w:rsidP="005E3F44">
            <w:pPr>
              <w:suppressAutoHyphens w:val="0"/>
              <w:autoSpaceDN/>
              <w:ind w:left="23" w:right="425" w:hanging="1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D7E7B">
              <w:rPr>
                <w:rFonts w:ascii="Arial" w:eastAsia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</w:tbl>
    <w:p w14:paraId="25A995D6" w14:textId="77777777" w:rsidR="002F60F1" w:rsidRPr="004D7E7B" w:rsidRDefault="002F60F1" w:rsidP="002F60F1">
      <w:pPr>
        <w:suppressAutoHyphens w:val="0"/>
        <w:autoSpaceDN/>
        <w:spacing w:after="120" w:line="266" w:lineRule="auto"/>
        <w:ind w:left="11" w:right="42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75E5F6C6" w14:textId="77777777" w:rsidR="002F60F1" w:rsidRPr="004D7E7B" w:rsidRDefault="00000000" w:rsidP="002F60F1">
      <w:pPr>
        <w:suppressAutoHyphens w:val="0"/>
        <w:autoSpaceDN/>
        <w:spacing w:after="120" w:line="256" w:lineRule="auto"/>
        <w:ind w:left="23" w:right="425" w:hanging="10"/>
        <w:jc w:val="center"/>
        <w:textAlignment w:val="auto"/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  <w:t>Članak 5.</w:t>
      </w:r>
    </w:p>
    <w:p w14:paraId="12390770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23" w:right="425" w:hanging="11"/>
        <w:jc w:val="both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Program se temelji na razvojnoj politici, ukazanim potrebama za izgradnjom građevina komunalne infrastrukture u skladu s izvješćem o stanju u prostoru, potrebama uređenja zemljišta planiranog prostorno planskom dokumentacijom i planom razvojnih programa koji se donose na temelju posebnih propisa, a vodeći računa o troškovima građenja infrastrukture te financijskim mogućnostima i predviđenim izvorima prihoda kojima se financira građenje iste u Proračunu Općine za 2025. godinu. </w:t>
      </w:r>
    </w:p>
    <w:p w14:paraId="30DF10C1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23" w:right="425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Općinski načelnik podnosi Općinskom vijeću Općine Jelenje izvješće o izvršenju programa građenja komunalne infrastrukture za prethodnu kalendarsku godinu. </w:t>
      </w:r>
    </w:p>
    <w:p w14:paraId="7892975F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23" w:right="425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Izvješće se podnosi istodobno s izvješćem o izvršenju Proračuna Općine Jelenje. </w:t>
      </w:r>
    </w:p>
    <w:p w14:paraId="2AC620DB" w14:textId="77777777" w:rsidR="002F60F1" w:rsidRPr="004D7E7B" w:rsidRDefault="002F60F1" w:rsidP="002F60F1">
      <w:pPr>
        <w:suppressAutoHyphens w:val="0"/>
        <w:autoSpaceDN/>
        <w:spacing w:after="120" w:line="266" w:lineRule="auto"/>
        <w:ind w:left="11" w:right="425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0DE74974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11" w:right="425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6.</w:t>
      </w:r>
    </w:p>
    <w:p w14:paraId="7CF99D16" w14:textId="77777777" w:rsidR="002F60F1" w:rsidRPr="004D7E7B" w:rsidRDefault="002F60F1" w:rsidP="002F60F1">
      <w:pPr>
        <w:suppressAutoHyphens w:val="0"/>
        <w:autoSpaceDN/>
        <w:spacing w:after="120" w:line="266" w:lineRule="auto"/>
        <w:ind w:left="11" w:right="425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0F0C4CCE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11" w:right="425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Ovaj Program stupa na snagu osmog dana od dana od objave u „Službenim novinama Općine Jelenje“, a primjenjivat će se od 1. siječnja 2025.</w:t>
      </w:r>
    </w:p>
    <w:p w14:paraId="65EB3F65" w14:textId="77777777" w:rsidR="002F60F1" w:rsidRPr="004D7E7B" w:rsidRDefault="002F60F1" w:rsidP="002F60F1">
      <w:pPr>
        <w:suppressAutoHyphens w:val="0"/>
        <w:autoSpaceDN/>
        <w:spacing w:after="120" w:line="266" w:lineRule="auto"/>
        <w:ind w:left="11" w:right="425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2E6609" w14:paraId="63DD88BC" w14:textId="77777777" w:rsidTr="005E3F44">
        <w:tc>
          <w:tcPr>
            <w:tcW w:w="1023" w:type="dxa"/>
            <w:hideMark/>
          </w:tcPr>
          <w:p w14:paraId="021B7031" w14:textId="77777777" w:rsidR="002F60F1" w:rsidRPr="004807FC" w:rsidRDefault="00000000" w:rsidP="005E3F44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71ABB8CD" w14:textId="77777777" w:rsidR="002F60F1" w:rsidRPr="004807FC" w:rsidRDefault="00000000" w:rsidP="005E3F44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E6609" w14:paraId="1DF6FDEC" w14:textId="77777777" w:rsidTr="005E3F44">
        <w:tc>
          <w:tcPr>
            <w:tcW w:w="1023" w:type="dxa"/>
            <w:hideMark/>
          </w:tcPr>
          <w:p w14:paraId="44D3733B" w14:textId="77777777" w:rsidR="002F60F1" w:rsidRPr="004807FC" w:rsidRDefault="00000000" w:rsidP="005E3F44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7EF87D97" w14:textId="77777777" w:rsidR="002F60F1" w:rsidRPr="004807FC" w:rsidRDefault="00000000" w:rsidP="005E3F44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2170-20-03-01/03-24-5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E6609" w14:paraId="4234CEF0" w14:textId="77777777" w:rsidTr="005E3F44">
        <w:tc>
          <w:tcPr>
            <w:tcW w:w="1023" w:type="dxa"/>
            <w:hideMark/>
          </w:tcPr>
          <w:p w14:paraId="27780826" w14:textId="77777777" w:rsidR="002F60F1" w:rsidRPr="004807FC" w:rsidRDefault="00000000" w:rsidP="005E3F44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42DD633C" w14:textId="77777777" w:rsidR="002F60F1" w:rsidRPr="004807FC" w:rsidRDefault="00000000" w:rsidP="005E3F44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9C21655" w14:textId="77777777" w:rsidR="002F60F1" w:rsidRPr="004D7E7B" w:rsidRDefault="002F60F1" w:rsidP="002F60F1">
      <w:pPr>
        <w:suppressAutoHyphens w:val="0"/>
        <w:autoSpaceDN/>
        <w:spacing w:after="120" w:line="266" w:lineRule="auto"/>
        <w:ind w:left="11" w:right="425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75DF5ED7" w14:textId="4B6584ED" w:rsidR="002F60F1" w:rsidRPr="004D7E7B" w:rsidRDefault="00000000" w:rsidP="002F60F1">
      <w:pPr>
        <w:tabs>
          <w:tab w:val="left" w:pos="9356"/>
        </w:tabs>
        <w:suppressAutoHyphens w:val="0"/>
        <w:autoSpaceDN/>
        <w:spacing w:after="120" w:line="266" w:lineRule="auto"/>
        <w:ind w:left="4962" w:right="425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 OPĆINSKOG VIJEĆA</w:t>
      </w:r>
    </w:p>
    <w:p w14:paraId="15466581" w14:textId="77777777" w:rsidR="002F60F1" w:rsidRPr="004D7E7B" w:rsidRDefault="00000000" w:rsidP="002F60F1">
      <w:pPr>
        <w:suppressAutoHyphens w:val="0"/>
        <w:autoSpaceDN/>
        <w:spacing w:after="120" w:line="266" w:lineRule="auto"/>
        <w:ind w:left="4962" w:right="425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OPĆINE JELENJE</w:t>
      </w:r>
    </w:p>
    <w:p w14:paraId="48B0C208" w14:textId="77777777" w:rsidR="002F60F1" w:rsidRPr="004D7E7B" w:rsidRDefault="002F60F1" w:rsidP="002F60F1">
      <w:pPr>
        <w:suppressAutoHyphens w:val="0"/>
        <w:autoSpaceDN/>
        <w:spacing w:after="120" w:line="266" w:lineRule="auto"/>
        <w:ind w:left="5040" w:right="425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75B7A9F" w14:textId="090E70A8" w:rsidR="00B349D1" w:rsidRPr="004807FC" w:rsidRDefault="00000000" w:rsidP="002F60F1">
      <w:pPr>
        <w:suppressAutoHyphens w:val="0"/>
        <w:autoSpaceDN/>
        <w:spacing w:after="120" w:line="266" w:lineRule="auto"/>
        <w:ind w:left="5040" w:right="425" w:hanging="11"/>
        <w:jc w:val="right"/>
        <w:textAlignment w:val="auto"/>
        <w:rPr>
          <w:rFonts w:ascii="Arial" w:eastAsia="Times New Roman" w:hAnsi="Arial" w:cs="Arial"/>
          <w:lang w:eastAsia="hr-HR"/>
        </w:rPr>
      </w:pPr>
      <w:r w:rsidRPr="004D7E7B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Izabela Nemaz</w:t>
      </w:r>
    </w:p>
    <w:sectPr w:rsidR="00B349D1" w:rsidRPr="004807FC" w:rsidSect="002F60F1">
      <w:pgSz w:w="11906" w:h="16838"/>
      <w:pgMar w:top="1134" w:right="70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D618A"/>
    <w:multiLevelType w:val="hybridMultilevel"/>
    <w:tmpl w:val="484ACDFE"/>
    <w:lvl w:ilvl="0" w:tplc="0EB49624">
      <w:start w:val="1"/>
      <w:numFmt w:val="bullet"/>
      <w:lvlText w:val="-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08C046A">
      <w:start w:val="1"/>
      <w:numFmt w:val="bullet"/>
      <w:lvlText w:val="o"/>
      <w:lvlJc w:val="left"/>
      <w:pPr>
        <w:ind w:left="1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C0FC0E">
      <w:start w:val="1"/>
      <w:numFmt w:val="bullet"/>
      <w:lvlText w:val="▪"/>
      <w:lvlJc w:val="left"/>
      <w:pPr>
        <w:ind w:left="2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BF8297A">
      <w:start w:val="1"/>
      <w:numFmt w:val="bullet"/>
      <w:lvlText w:val="•"/>
      <w:lvlJc w:val="left"/>
      <w:pPr>
        <w:ind w:left="3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6302A78">
      <w:start w:val="1"/>
      <w:numFmt w:val="bullet"/>
      <w:lvlText w:val="o"/>
      <w:lvlJc w:val="left"/>
      <w:pPr>
        <w:ind w:left="3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566CA4">
      <w:start w:val="1"/>
      <w:numFmt w:val="bullet"/>
      <w:lvlText w:val="▪"/>
      <w:lvlJc w:val="left"/>
      <w:pPr>
        <w:ind w:left="4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CBA7CF0">
      <w:start w:val="1"/>
      <w:numFmt w:val="bullet"/>
      <w:lvlText w:val="•"/>
      <w:lvlJc w:val="left"/>
      <w:pPr>
        <w:ind w:left="5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A22002">
      <w:start w:val="1"/>
      <w:numFmt w:val="bullet"/>
      <w:lvlText w:val="o"/>
      <w:lvlJc w:val="left"/>
      <w:pPr>
        <w:ind w:left="6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A8676C0">
      <w:start w:val="1"/>
      <w:numFmt w:val="bullet"/>
      <w:lvlText w:val="▪"/>
      <w:lvlJc w:val="left"/>
      <w:pPr>
        <w:ind w:left="6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9FC72E3"/>
    <w:multiLevelType w:val="hybridMultilevel"/>
    <w:tmpl w:val="AFB412E6"/>
    <w:lvl w:ilvl="0" w:tplc="D4F8D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6C4A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500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E5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22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69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E1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61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A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7468"/>
    <w:multiLevelType w:val="hybridMultilevel"/>
    <w:tmpl w:val="D2AEF6D0"/>
    <w:lvl w:ilvl="0" w:tplc="5448C09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2714B71C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8803F6A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E7EA36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BEC63DA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58EE4E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833C3428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399A1502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60B459F2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1A4712C"/>
    <w:multiLevelType w:val="hybridMultilevel"/>
    <w:tmpl w:val="B5F28478"/>
    <w:lvl w:ilvl="0" w:tplc="D2602D94">
      <w:start w:val="1"/>
      <w:numFmt w:val="decimal"/>
      <w:lvlText w:val="%1."/>
      <w:lvlJc w:val="left"/>
      <w:pPr>
        <w:ind w:left="70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D6E87F6">
      <w:start w:val="1"/>
      <w:numFmt w:val="lowerLetter"/>
      <w:lvlText w:val="%2"/>
      <w:lvlJc w:val="left"/>
      <w:pPr>
        <w:ind w:left="1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7BC83A4">
      <w:start w:val="1"/>
      <w:numFmt w:val="lowerRoman"/>
      <w:lvlText w:val="%3"/>
      <w:lvlJc w:val="left"/>
      <w:pPr>
        <w:ind w:left="2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128F6AE">
      <w:start w:val="1"/>
      <w:numFmt w:val="decimal"/>
      <w:lvlText w:val="%4"/>
      <w:lvlJc w:val="left"/>
      <w:pPr>
        <w:ind w:left="3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77E2FE4">
      <w:start w:val="1"/>
      <w:numFmt w:val="lowerLetter"/>
      <w:lvlText w:val="%5"/>
      <w:lvlJc w:val="left"/>
      <w:pPr>
        <w:ind w:left="3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10EECE6">
      <w:start w:val="1"/>
      <w:numFmt w:val="lowerRoman"/>
      <w:lvlText w:val="%6"/>
      <w:lvlJc w:val="left"/>
      <w:pPr>
        <w:ind w:left="4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B6C3AEC">
      <w:start w:val="1"/>
      <w:numFmt w:val="decimal"/>
      <w:lvlText w:val="%7"/>
      <w:lvlJc w:val="left"/>
      <w:pPr>
        <w:ind w:left="5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E42BA8">
      <w:start w:val="1"/>
      <w:numFmt w:val="lowerLetter"/>
      <w:lvlText w:val="%8"/>
      <w:lvlJc w:val="left"/>
      <w:pPr>
        <w:ind w:left="5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341256">
      <w:start w:val="1"/>
      <w:numFmt w:val="lowerRoman"/>
      <w:lvlText w:val="%9"/>
      <w:lvlJc w:val="left"/>
      <w:pPr>
        <w:ind w:left="6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33427246">
    <w:abstractNumId w:val="1"/>
  </w:num>
  <w:num w:numId="2" w16cid:durableId="1332180814">
    <w:abstractNumId w:val="2"/>
  </w:num>
  <w:num w:numId="3" w16cid:durableId="563103693">
    <w:abstractNumId w:val="0"/>
  </w:num>
  <w:num w:numId="4" w16cid:durableId="2027053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2E6609"/>
    <w:rsid w:val="002F60F1"/>
    <w:rsid w:val="003316D9"/>
    <w:rsid w:val="00341AF9"/>
    <w:rsid w:val="0038657E"/>
    <w:rsid w:val="003F2E3A"/>
    <w:rsid w:val="00464030"/>
    <w:rsid w:val="004807FC"/>
    <w:rsid w:val="00496E95"/>
    <w:rsid w:val="004A683B"/>
    <w:rsid w:val="004D7E7B"/>
    <w:rsid w:val="00532B20"/>
    <w:rsid w:val="00535989"/>
    <w:rsid w:val="005A324D"/>
    <w:rsid w:val="005E3F44"/>
    <w:rsid w:val="00666163"/>
    <w:rsid w:val="006837E4"/>
    <w:rsid w:val="00716ED3"/>
    <w:rsid w:val="0074334F"/>
    <w:rsid w:val="00745E8C"/>
    <w:rsid w:val="00760CD3"/>
    <w:rsid w:val="00772855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C1D9C"/>
    <w:rsid w:val="00BE3359"/>
    <w:rsid w:val="00BF5729"/>
    <w:rsid w:val="00C37878"/>
    <w:rsid w:val="00D0010D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F60F1"/>
    <w:pPr>
      <w:spacing w:after="0" w:line="240" w:lineRule="auto"/>
    </w:pPr>
    <w:rPr>
      <w:rFonts w:ascii="Calibri" w:eastAsia="Times New Roman" w:hAnsi="Calibri" w:cs="Times New Roman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2024-12-19T17:20:00Z</dcterms:created>
  <dcterms:modified xsi:type="dcterms:W3CDTF">2024-12-19T17:20:00Z</dcterms:modified>
</cp:coreProperties>
</file>