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6B86A" w14:textId="77777777" w:rsidR="00D26CC9" w:rsidRDefault="00000000">
      <w:pPr>
        <w:spacing w:after="133" w:line="261" w:lineRule="auto"/>
        <w:ind w:left="-5" w:right="0"/>
      </w:pPr>
      <w:r>
        <w:rPr>
          <w:b/>
        </w:rPr>
        <w:t xml:space="preserve">OBRAZLOŽENJE UZ PRIJEDLOG </w:t>
      </w:r>
      <w:r w:rsidR="00AB3BCE">
        <w:rPr>
          <w:b/>
        </w:rPr>
        <w:t>DRUG</w:t>
      </w:r>
      <w:r>
        <w:rPr>
          <w:b/>
        </w:rPr>
        <w:t xml:space="preserve">IH IZMJENA I DOPUNA PRORAČUNA OPĆINE JELENJE ZA 2024. I PROJEKCIJA PRORAČUNA ZA 2025. I  2026. </w:t>
      </w:r>
      <w:r>
        <w:rPr>
          <w:rFonts w:ascii="Calibri" w:eastAsia="Calibri" w:hAnsi="Calibri" w:cs="Calibri"/>
        </w:rPr>
        <w:t xml:space="preserve"> </w:t>
      </w:r>
    </w:p>
    <w:p w14:paraId="07BD85BD" w14:textId="77777777" w:rsidR="00D26CC9" w:rsidRDefault="00000000">
      <w:pPr>
        <w:spacing w:after="182" w:line="259" w:lineRule="auto"/>
        <w:ind w:left="0" w:right="0" w:firstLine="0"/>
        <w:jc w:val="left"/>
      </w:pPr>
      <w:r>
        <w:rPr>
          <w:b/>
        </w:rPr>
        <w:t xml:space="preserve"> </w:t>
      </w:r>
      <w:r>
        <w:t xml:space="preserve">  </w:t>
      </w:r>
      <w:r>
        <w:rPr>
          <w:rFonts w:ascii="Calibri" w:eastAsia="Calibri" w:hAnsi="Calibri" w:cs="Calibri"/>
        </w:rPr>
        <w:t xml:space="preserve"> </w:t>
      </w:r>
    </w:p>
    <w:p w14:paraId="0CC0653A" w14:textId="77777777" w:rsidR="00D26CC9" w:rsidRDefault="00000000">
      <w:pPr>
        <w:numPr>
          <w:ilvl w:val="0"/>
          <w:numId w:val="1"/>
        </w:numPr>
        <w:spacing w:after="133" w:line="261" w:lineRule="auto"/>
        <w:ind w:right="0" w:hanging="329"/>
      </w:pPr>
      <w:r>
        <w:rPr>
          <w:b/>
        </w:rPr>
        <w:t>OSNOVA ZA DONOŠENJE</w:t>
      </w:r>
      <w:r>
        <w:rPr>
          <w:color w:val="FF6600"/>
        </w:rPr>
        <w:t xml:space="preserve"> </w:t>
      </w:r>
      <w:r>
        <w:rPr>
          <w:rFonts w:ascii="Calibri" w:eastAsia="Calibri" w:hAnsi="Calibri" w:cs="Calibri"/>
        </w:rPr>
        <w:t xml:space="preserve"> </w:t>
      </w:r>
    </w:p>
    <w:p w14:paraId="4BF81313" w14:textId="77777777" w:rsidR="00D26CC9" w:rsidRDefault="00000000">
      <w:pPr>
        <w:spacing w:after="102" w:line="333" w:lineRule="auto"/>
        <w:ind w:left="-5" w:right="-14"/>
        <w:jc w:val="left"/>
      </w:pPr>
      <w:r>
        <w:rPr>
          <w:color w:val="FF6600"/>
        </w:rPr>
        <w:t xml:space="preserve"> </w:t>
      </w:r>
      <w:r>
        <w:t xml:space="preserve">Zakonska osnova za donošenje Izmjena i dopuna Proračuna Općine Jelenje za 2024. sadržana je u članku 45. Zakona o proračunu („Narodne novine“ broj 144/21).  </w:t>
      </w:r>
      <w:r>
        <w:rPr>
          <w:rFonts w:ascii="Calibri" w:eastAsia="Calibri" w:hAnsi="Calibri" w:cs="Calibri"/>
        </w:rPr>
        <w:t xml:space="preserve"> </w:t>
      </w:r>
      <w:r>
        <w:t xml:space="preserve">  </w:t>
      </w:r>
      <w:r>
        <w:tab/>
        <w:t xml:space="preserve"> </w:t>
      </w:r>
      <w:r>
        <w:rPr>
          <w:rFonts w:ascii="Calibri" w:eastAsia="Calibri" w:hAnsi="Calibri" w:cs="Calibri"/>
        </w:rPr>
        <w:t xml:space="preserve"> </w:t>
      </w:r>
    </w:p>
    <w:p w14:paraId="070091CE" w14:textId="77777777" w:rsidR="00D26CC9" w:rsidRDefault="00000000">
      <w:pPr>
        <w:numPr>
          <w:ilvl w:val="0"/>
          <w:numId w:val="1"/>
        </w:numPr>
        <w:spacing w:after="133" w:line="261" w:lineRule="auto"/>
        <w:ind w:right="0" w:hanging="329"/>
      </w:pPr>
      <w:r>
        <w:rPr>
          <w:b/>
        </w:rPr>
        <w:t xml:space="preserve">OBRAZLOŽENJE </w:t>
      </w:r>
      <w:r w:rsidR="00AB3BCE">
        <w:rPr>
          <w:b/>
        </w:rPr>
        <w:t>DRUG</w:t>
      </w:r>
      <w:r>
        <w:rPr>
          <w:b/>
        </w:rPr>
        <w:t xml:space="preserve">IH IZMJENA I DOPUNA PRORAČUNA OPĆINE JELENJE ZA 2024.  </w:t>
      </w:r>
      <w:r>
        <w:rPr>
          <w:rFonts w:ascii="Calibri" w:eastAsia="Calibri" w:hAnsi="Calibri" w:cs="Calibri"/>
        </w:rPr>
        <w:t xml:space="preserve"> </w:t>
      </w:r>
    </w:p>
    <w:p w14:paraId="3BE62D68" w14:textId="77777777" w:rsidR="00D26CC9" w:rsidRDefault="00000000">
      <w:pPr>
        <w:ind w:left="5" w:right="0"/>
      </w:pPr>
      <w:r>
        <w:t xml:space="preserve">Proračun Općine Jelenje za 2024. godinu i projekcija proračuna za 2025. i 2026.g. (dalje u tekstu: Proračun) doneseni su na sjednici Općinskog vijeća održanoj dana 21. prosinca 2023., a objavljeni su u "Službenim novinama" Općine Jelenje broj 64/23 od 22. prosinca 2023.g.  </w:t>
      </w:r>
      <w:r>
        <w:rPr>
          <w:rFonts w:ascii="Calibri" w:eastAsia="Calibri" w:hAnsi="Calibri" w:cs="Calibri"/>
        </w:rPr>
        <w:t xml:space="preserve"> </w:t>
      </w:r>
    </w:p>
    <w:p w14:paraId="0868B0A6" w14:textId="77777777" w:rsidR="00D26CC9" w:rsidRDefault="00000000">
      <w:pPr>
        <w:ind w:left="5" w:right="0"/>
      </w:pPr>
      <w:r>
        <w:t xml:space="preserve">Planirani iznos prihoda i primitaka za 2024. godinu te rashoda i izdataka utvrđen je u iznosu od 6.463.000,00 eura. </w:t>
      </w:r>
      <w:r>
        <w:rPr>
          <w:rFonts w:ascii="Calibri" w:eastAsia="Calibri" w:hAnsi="Calibri" w:cs="Calibri"/>
        </w:rPr>
        <w:t xml:space="preserve"> </w:t>
      </w:r>
    </w:p>
    <w:p w14:paraId="334D76D2" w14:textId="77777777" w:rsidR="00D26CC9" w:rsidRDefault="00000000">
      <w:pPr>
        <w:ind w:left="5" w:right="0"/>
      </w:pPr>
      <w:r>
        <w:t>Prvim izmjenama i dopunama Proračun za 2024. godinu poveća</w:t>
      </w:r>
      <w:r w:rsidR="00AB3BCE">
        <w:t>o se</w:t>
      </w:r>
      <w:r>
        <w:t xml:space="preserve"> za 65.500,00 eura (1%) pa planirani iznos prihoda i primitka za 2024. iznosi 5.650.614,19 eura uvećan za raspoloživa sredstva iz prethodnih godina u iznosu od 877.885,81 eura kojim se pokrivaju planirani rashodi i izdaci za 2024. godinu u iznosu od 6.528.500,00 eura. </w:t>
      </w:r>
    </w:p>
    <w:p w14:paraId="3DD417B4" w14:textId="77777777" w:rsidR="00AB3BCE" w:rsidRDefault="00AB3BCE" w:rsidP="00AB3BCE">
      <w:pPr>
        <w:ind w:left="5" w:right="0"/>
      </w:pPr>
      <w:r>
        <w:t xml:space="preserve">Predloženim drugim izmjenama i dopunama Proračun za 2024. godinu se smanjuje za 586.300,00 eura (19,1%) pa planirani iznos prihoda i primitka za 2024. iznosi 5.094.114,19 eura uvećan za raspoloživa sredstva iz prethodnih godina u iznosu od 877.885,81 eura kojim se pokrivaju planirani rashodi i izdaci za 2024. godinu u iznosu od 5.972.000,00 eura. </w:t>
      </w:r>
    </w:p>
    <w:p w14:paraId="0C9E1DD3" w14:textId="77777777" w:rsidR="00D26CC9" w:rsidRDefault="00AB3BCE">
      <w:pPr>
        <w:ind w:left="5" w:right="0"/>
      </w:pPr>
      <w:r>
        <w:t>Drugim izmjenama i dopunama proračuna obuhvaćene su sve nužne promjene planskih iznosa koje proizlaze iz dosadašnjeg tijeka izvršavanja proračuna te procjene ostvarenja do kraja godine.</w:t>
      </w:r>
      <w:r>
        <w:rPr>
          <w:rFonts w:ascii="Calibri" w:eastAsia="Calibri" w:hAnsi="Calibri" w:cs="Calibri"/>
        </w:rPr>
        <w:t xml:space="preserve"> </w:t>
      </w:r>
    </w:p>
    <w:p w14:paraId="28EADB6E" w14:textId="77777777" w:rsidR="00D26CC9" w:rsidRDefault="00AB3BCE">
      <w:pPr>
        <w:spacing w:after="162"/>
        <w:ind w:left="5" w:right="0"/>
      </w:pPr>
      <w:r>
        <w:t xml:space="preserve">Druge izmjene i dopune proračuna za 2024. godinu, izrađene su u skladu sa Pravilnikom o proračunskim klasifikacijama (Narodne novine 26/10, 120/13, 01/20, 144/21, 4/24), kako slijedi: </w:t>
      </w:r>
      <w:r>
        <w:rPr>
          <w:rFonts w:ascii="Calibri" w:eastAsia="Calibri" w:hAnsi="Calibri" w:cs="Calibri"/>
        </w:rPr>
        <w:t xml:space="preserve"> </w:t>
      </w:r>
    </w:p>
    <w:p w14:paraId="54F0D224" w14:textId="77777777" w:rsidR="00D26CC9" w:rsidRDefault="00000000">
      <w:pPr>
        <w:numPr>
          <w:ilvl w:val="0"/>
          <w:numId w:val="2"/>
        </w:numPr>
        <w:spacing w:after="160"/>
        <w:ind w:right="0" w:hanging="329"/>
      </w:pPr>
      <w:r>
        <w:t xml:space="preserve">Proračunska klasifikacija po izvorima financiranja </w:t>
      </w:r>
      <w:r>
        <w:rPr>
          <w:rFonts w:ascii="Calibri" w:eastAsia="Calibri" w:hAnsi="Calibri" w:cs="Calibri"/>
        </w:rPr>
        <w:t xml:space="preserve"> </w:t>
      </w:r>
    </w:p>
    <w:p w14:paraId="35BA9E59" w14:textId="77777777" w:rsidR="00D26CC9" w:rsidRDefault="00000000">
      <w:pPr>
        <w:numPr>
          <w:ilvl w:val="0"/>
          <w:numId w:val="2"/>
        </w:numPr>
        <w:spacing w:after="160"/>
        <w:ind w:right="0" w:hanging="329"/>
      </w:pPr>
      <w:r>
        <w:t xml:space="preserve">Ekonomska klasifikacija na nivo skupine,  </w:t>
      </w:r>
      <w:r>
        <w:rPr>
          <w:rFonts w:ascii="Calibri" w:eastAsia="Calibri" w:hAnsi="Calibri" w:cs="Calibri"/>
        </w:rPr>
        <w:t xml:space="preserve"> </w:t>
      </w:r>
    </w:p>
    <w:p w14:paraId="53598C0E" w14:textId="77777777" w:rsidR="00D26CC9" w:rsidRDefault="00000000">
      <w:pPr>
        <w:numPr>
          <w:ilvl w:val="0"/>
          <w:numId w:val="2"/>
        </w:numPr>
        <w:spacing w:after="157"/>
        <w:ind w:right="0" w:hanging="329"/>
      </w:pPr>
      <w:r>
        <w:t xml:space="preserve">Organizacijska struktura na dva razdjela: Općinsko vijeće i načelnik te Jedinstveni upravni odjel. Unutar Razdjela Općinsko vijeće i načelnika postoje dvije glave: prva je Općinsko vijeće, a druga Načelnik. Kod drugog razdjela glava je istog naziva. </w:t>
      </w:r>
      <w:r>
        <w:rPr>
          <w:rFonts w:ascii="Calibri" w:eastAsia="Calibri" w:hAnsi="Calibri" w:cs="Calibri"/>
        </w:rPr>
        <w:t xml:space="preserve"> </w:t>
      </w:r>
    </w:p>
    <w:p w14:paraId="2D5ED91E" w14:textId="77777777" w:rsidR="00D26CC9" w:rsidRDefault="00000000">
      <w:pPr>
        <w:numPr>
          <w:ilvl w:val="0"/>
          <w:numId w:val="2"/>
        </w:numPr>
        <w:spacing w:after="160"/>
        <w:ind w:right="0" w:hanging="329"/>
      </w:pPr>
      <w:r>
        <w:t xml:space="preserve">Programska klasifikacija </w:t>
      </w:r>
      <w:r>
        <w:rPr>
          <w:rFonts w:ascii="Calibri" w:eastAsia="Calibri" w:hAnsi="Calibri" w:cs="Calibri"/>
        </w:rPr>
        <w:t xml:space="preserve"> </w:t>
      </w:r>
    </w:p>
    <w:p w14:paraId="2ABC1A2F" w14:textId="77777777" w:rsidR="00D26CC9" w:rsidRDefault="00000000">
      <w:pPr>
        <w:numPr>
          <w:ilvl w:val="0"/>
          <w:numId w:val="2"/>
        </w:numPr>
        <w:ind w:right="0" w:hanging="329"/>
      </w:pPr>
      <w:r>
        <w:t xml:space="preserve">Funkcijska klasifikacija </w:t>
      </w:r>
      <w:r>
        <w:rPr>
          <w:rFonts w:ascii="Calibri" w:eastAsia="Calibri" w:hAnsi="Calibri" w:cs="Calibri"/>
        </w:rPr>
        <w:t xml:space="preserve"> </w:t>
      </w:r>
    </w:p>
    <w:p w14:paraId="0D453F17" w14:textId="77777777" w:rsidR="00D26CC9" w:rsidRDefault="00000000">
      <w:pPr>
        <w:ind w:left="5" w:right="0"/>
      </w:pPr>
      <w:r>
        <w:t xml:space="preserve">Izmjenama i dopunama proračuna uravnotežuju se prihodovna i rashodovna strana u skladu sa Zakonom o proračunu.  </w:t>
      </w:r>
      <w:r>
        <w:rPr>
          <w:rFonts w:ascii="Calibri" w:eastAsia="Calibri" w:hAnsi="Calibri" w:cs="Calibri"/>
        </w:rPr>
        <w:t xml:space="preserve"> </w:t>
      </w:r>
    </w:p>
    <w:p w14:paraId="349209CE" w14:textId="77777777" w:rsidR="00AB3BCE" w:rsidRDefault="00AB3BCE">
      <w:pPr>
        <w:spacing w:after="133" w:line="261" w:lineRule="auto"/>
        <w:ind w:left="-5" w:right="0"/>
        <w:rPr>
          <w:b/>
        </w:rPr>
      </w:pPr>
    </w:p>
    <w:p w14:paraId="618F035E" w14:textId="77777777" w:rsidR="00D26CC9" w:rsidRDefault="00000000">
      <w:pPr>
        <w:spacing w:after="133" w:line="261" w:lineRule="auto"/>
        <w:ind w:left="-5" w:right="0"/>
      </w:pPr>
      <w:r>
        <w:rPr>
          <w:b/>
        </w:rPr>
        <w:t xml:space="preserve">PRIHODI I PRIMICI </w:t>
      </w:r>
      <w:r>
        <w:rPr>
          <w:rFonts w:ascii="Calibri" w:eastAsia="Calibri" w:hAnsi="Calibri" w:cs="Calibri"/>
        </w:rPr>
        <w:t xml:space="preserve"> </w:t>
      </w:r>
    </w:p>
    <w:p w14:paraId="46811DB1" w14:textId="77777777" w:rsidR="00D26CC9" w:rsidRDefault="00AB3BCE">
      <w:pPr>
        <w:spacing w:after="158"/>
        <w:ind w:left="5" w:right="0"/>
      </w:pPr>
      <w:r>
        <w:t xml:space="preserve">Drugim izmjenama i dopunama Proračuna Prihodi i primici za 2024. godinu izmijenjeni su te glase kako slijedi: </w:t>
      </w:r>
    </w:p>
    <w:p w14:paraId="625CE265" w14:textId="77777777" w:rsidR="00AB3BCE" w:rsidRDefault="00AB3BCE">
      <w:pPr>
        <w:spacing w:after="158"/>
        <w:ind w:left="5" w:right="0"/>
      </w:pPr>
    </w:p>
    <w:p w14:paraId="20662764" w14:textId="77777777" w:rsidR="00AB3BCE" w:rsidRDefault="00AB3BCE">
      <w:pPr>
        <w:spacing w:after="158"/>
        <w:ind w:left="5" w:right="0"/>
      </w:pPr>
    </w:p>
    <w:p w14:paraId="0A01F3FC" w14:textId="77777777" w:rsidR="00D26CC9" w:rsidRDefault="00000000">
      <w:pPr>
        <w:spacing w:after="0" w:line="261" w:lineRule="auto"/>
        <w:ind w:left="-5" w:right="0"/>
      </w:pPr>
      <w:r>
        <w:lastRenderedPageBreak/>
        <w:t xml:space="preserve"> </w:t>
      </w:r>
      <w:r>
        <w:rPr>
          <w:b/>
        </w:rPr>
        <w:t>Tabela 1: Usporedba prihoda Proračuna Općine Jelenje prema visini i vrsti prihoda</w:t>
      </w:r>
      <w:r>
        <w:t xml:space="preserve">  </w:t>
      </w:r>
    </w:p>
    <w:tbl>
      <w:tblPr>
        <w:tblStyle w:val="TableGrid"/>
        <w:tblW w:w="9606" w:type="dxa"/>
        <w:tblInd w:w="49" w:type="dxa"/>
        <w:tblCellMar>
          <w:top w:w="62" w:type="dxa"/>
          <w:left w:w="484" w:type="dxa"/>
          <w:right w:w="26" w:type="dxa"/>
        </w:tblCellMar>
        <w:tblLook w:val="04A0" w:firstRow="1" w:lastRow="0" w:firstColumn="1" w:lastColumn="0" w:noHBand="0" w:noVBand="1"/>
      </w:tblPr>
      <w:tblGrid>
        <w:gridCol w:w="2597"/>
        <w:gridCol w:w="1409"/>
        <w:gridCol w:w="1424"/>
        <w:gridCol w:w="1477"/>
        <w:gridCol w:w="1595"/>
        <w:gridCol w:w="1104"/>
      </w:tblGrid>
      <w:tr w:rsidR="00AB3BCE" w14:paraId="5B7B91B6" w14:textId="77777777" w:rsidTr="00AB3BCE">
        <w:trPr>
          <w:trHeight w:val="520"/>
        </w:trPr>
        <w:tc>
          <w:tcPr>
            <w:tcW w:w="25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F9B70F" w14:textId="77777777" w:rsidR="00AB3BCE" w:rsidRDefault="00AB3BCE">
            <w:pPr>
              <w:spacing w:after="0" w:line="259" w:lineRule="auto"/>
              <w:ind w:left="0" w:right="0" w:firstLine="0"/>
              <w:jc w:val="left"/>
            </w:pPr>
            <w:r>
              <w:rPr>
                <w:b/>
                <w:sz w:val="14"/>
              </w:rPr>
              <w:t xml:space="preserve">PRIHODI I PRIMICI </w:t>
            </w:r>
            <w:r>
              <w:rPr>
                <w:rFonts w:ascii="Calibri" w:eastAsia="Calibri" w:hAnsi="Calibri" w:cs="Calibri"/>
                <w:sz w:val="14"/>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E2EFD9"/>
          </w:tcPr>
          <w:p w14:paraId="11F069E2" w14:textId="77777777" w:rsidR="00AB3BCE" w:rsidRDefault="00AB3BCE">
            <w:pPr>
              <w:spacing w:after="0" w:line="259" w:lineRule="auto"/>
              <w:ind w:left="3" w:right="0" w:firstLine="0"/>
              <w:jc w:val="left"/>
            </w:pPr>
            <w:r>
              <w:rPr>
                <w:b/>
                <w:sz w:val="14"/>
              </w:rPr>
              <w:t xml:space="preserve">PLAN 2024 </w:t>
            </w:r>
            <w:r>
              <w:rPr>
                <w:rFonts w:ascii="Calibri" w:eastAsia="Calibri" w:hAnsi="Calibri" w:cs="Calibri"/>
                <w:sz w:val="14"/>
              </w:rPr>
              <w:t xml:space="preserve"> </w:t>
            </w:r>
          </w:p>
          <w:p w14:paraId="4F1AB5C1" w14:textId="77777777" w:rsidR="00AB3BCE" w:rsidRDefault="00AB3BCE">
            <w:pPr>
              <w:spacing w:after="0" w:line="259" w:lineRule="auto"/>
              <w:ind w:left="0" w:right="580" w:firstLine="0"/>
              <w:jc w:val="center"/>
            </w:pPr>
            <w:r>
              <w:rPr>
                <w:b/>
                <w:sz w:val="14"/>
              </w:rPr>
              <w:t xml:space="preserve">(eur) </w:t>
            </w:r>
            <w:r>
              <w:rPr>
                <w:rFonts w:ascii="Calibri" w:eastAsia="Calibri" w:hAnsi="Calibri" w:cs="Calibri"/>
                <w:sz w:val="14"/>
              </w:rPr>
              <w:t xml:space="preserve"> </w:t>
            </w:r>
          </w:p>
        </w:tc>
        <w:tc>
          <w:tcPr>
            <w:tcW w:w="1424" w:type="dxa"/>
            <w:tcBorders>
              <w:top w:val="single" w:sz="4" w:space="0" w:color="000000"/>
              <w:left w:val="single" w:sz="4" w:space="0" w:color="000000"/>
              <w:bottom w:val="single" w:sz="4" w:space="0" w:color="000000"/>
              <w:right w:val="single" w:sz="4" w:space="0" w:color="000000"/>
            </w:tcBorders>
            <w:shd w:val="clear" w:color="auto" w:fill="E2EFD9"/>
          </w:tcPr>
          <w:p w14:paraId="4EBB7EDC" w14:textId="77777777" w:rsidR="00AB3BCE" w:rsidRDefault="00AB3BCE">
            <w:pPr>
              <w:spacing w:after="0" w:line="259" w:lineRule="auto"/>
              <w:ind w:left="4" w:right="0" w:firstLine="0"/>
              <w:jc w:val="left"/>
              <w:rPr>
                <w:b/>
                <w:sz w:val="14"/>
              </w:rPr>
            </w:pPr>
            <w:r>
              <w:rPr>
                <w:b/>
                <w:sz w:val="14"/>
              </w:rPr>
              <w:t>PRVE IZMJENE I DOPUNE (eur)</w:t>
            </w:r>
          </w:p>
        </w:tc>
        <w:tc>
          <w:tcPr>
            <w:tcW w:w="1477" w:type="dxa"/>
            <w:tcBorders>
              <w:top w:val="single" w:sz="4" w:space="0" w:color="000000"/>
              <w:left w:val="single" w:sz="4" w:space="0" w:color="000000"/>
              <w:bottom w:val="single" w:sz="4" w:space="0" w:color="000000"/>
              <w:right w:val="single" w:sz="4" w:space="0" w:color="000000"/>
            </w:tcBorders>
            <w:shd w:val="clear" w:color="auto" w:fill="E2EFD9"/>
          </w:tcPr>
          <w:p w14:paraId="09FE9E49" w14:textId="77777777" w:rsidR="00AB3BCE" w:rsidRDefault="00AB3BCE">
            <w:pPr>
              <w:spacing w:after="0" w:line="259" w:lineRule="auto"/>
              <w:ind w:left="4" w:right="0" w:firstLine="0"/>
              <w:jc w:val="left"/>
            </w:pPr>
            <w:r>
              <w:rPr>
                <w:b/>
                <w:sz w:val="14"/>
              </w:rPr>
              <w:t xml:space="preserve">SMANJENJE/ </w:t>
            </w:r>
            <w:r>
              <w:rPr>
                <w:rFonts w:ascii="Calibri" w:eastAsia="Calibri" w:hAnsi="Calibri" w:cs="Calibri"/>
                <w:sz w:val="14"/>
              </w:rPr>
              <w:t xml:space="preserve"> </w:t>
            </w:r>
          </w:p>
          <w:p w14:paraId="080AFA44" w14:textId="77777777" w:rsidR="00AB3BCE" w:rsidRDefault="00AB3BCE">
            <w:pPr>
              <w:spacing w:after="0" w:line="259" w:lineRule="auto"/>
              <w:ind w:left="4" w:right="0" w:firstLine="0"/>
              <w:jc w:val="left"/>
            </w:pPr>
            <w:r>
              <w:rPr>
                <w:b/>
                <w:sz w:val="14"/>
              </w:rPr>
              <w:t xml:space="preserve">POVEĆANJE </w:t>
            </w:r>
          </w:p>
          <w:p w14:paraId="282FA878" w14:textId="77777777" w:rsidR="00AB3BCE" w:rsidRDefault="00AB3BCE">
            <w:pPr>
              <w:spacing w:after="0" w:line="259" w:lineRule="auto"/>
              <w:ind w:left="13" w:right="0" w:firstLine="0"/>
              <w:jc w:val="left"/>
            </w:pPr>
            <w:r>
              <w:rPr>
                <w:b/>
                <w:sz w:val="14"/>
              </w:rPr>
              <w:t xml:space="preserve">(eur) </w:t>
            </w:r>
            <w:r>
              <w:rPr>
                <w:rFonts w:ascii="Calibri" w:eastAsia="Calibri" w:hAnsi="Calibri" w:cs="Calibri"/>
                <w:sz w:val="14"/>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E2EFD9"/>
          </w:tcPr>
          <w:p w14:paraId="475ECC0D" w14:textId="77777777" w:rsidR="00AB3BCE" w:rsidRDefault="00AB3BCE">
            <w:pPr>
              <w:spacing w:after="0" w:line="259" w:lineRule="auto"/>
              <w:ind w:left="3" w:right="0" w:firstLine="0"/>
              <w:jc w:val="left"/>
            </w:pPr>
            <w:r>
              <w:rPr>
                <w:b/>
                <w:sz w:val="14"/>
              </w:rPr>
              <w:t xml:space="preserve">NOVI PLAN 2024 </w:t>
            </w:r>
          </w:p>
          <w:p w14:paraId="1AC6DB01" w14:textId="77777777" w:rsidR="00AB3BCE" w:rsidRDefault="00AB3BCE">
            <w:pPr>
              <w:spacing w:after="0" w:line="259" w:lineRule="auto"/>
              <w:ind w:left="13" w:right="0" w:firstLine="0"/>
              <w:jc w:val="left"/>
            </w:pPr>
            <w:r>
              <w:rPr>
                <w:b/>
                <w:sz w:val="14"/>
              </w:rPr>
              <w:t xml:space="preserve">(eur) </w:t>
            </w:r>
            <w:r>
              <w:rPr>
                <w:rFonts w:ascii="Calibri" w:eastAsia="Calibri" w:hAnsi="Calibri" w:cs="Calibri"/>
                <w:sz w:val="14"/>
              </w:rPr>
              <w:t xml:space="preserve"> </w:t>
            </w:r>
          </w:p>
        </w:tc>
        <w:tc>
          <w:tcPr>
            <w:tcW w:w="1104" w:type="dxa"/>
            <w:tcBorders>
              <w:top w:val="single" w:sz="4" w:space="0" w:color="000000"/>
              <w:left w:val="single" w:sz="4" w:space="0" w:color="000000"/>
              <w:bottom w:val="single" w:sz="4" w:space="0" w:color="auto"/>
              <w:right w:val="single" w:sz="4" w:space="0" w:color="000000"/>
            </w:tcBorders>
            <w:shd w:val="clear" w:color="auto" w:fill="E2EFD9"/>
          </w:tcPr>
          <w:p w14:paraId="59CC6564" w14:textId="77777777" w:rsidR="00AB3BCE" w:rsidRDefault="00AB3BCE">
            <w:pPr>
              <w:spacing w:after="0" w:line="259" w:lineRule="auto"/>
              <w:ind w:left="3" w:right="0" w:firstLine="0"/>
              <w:jc w:val="left"/>
            </w:pPr>
            <w:r>
              <w:rPr>
                <w:b/>
                <w:sz w:val="14"/>
              </w:rPr>
              <w:t xml:space="preserve">INDEX </w:t>
            </w:r>
          </w:p>
          <w:p w14:paraId="115A97BB" w14:textId="77777777" w:rsidR="00AB3BCE" w:rsidRDefault="00AB3BCE">
            <w:pPr>
              <w:spacing w:after="0" w:line="259" w:lineRule="auto"/>
              <w:ind w:left="0" w:right="292" w:firstLine="0"/>
              <w:jc w:val="center"/>
            </w:pPr>
            <w:r>
              <w:rPr>
                <w:b/>
                <w:sz w:val="14"/>
              </w:rPr>
              <w:t>(</w:t>
            </w:r>
            <w:r w:rsidR="00BF0E21">
              <w:rPr>
                <w:b/>
                <w:sz w:val="14"/>
              </w:rPr>
              <w:t>4</w:t>
            </w:r>
            <w:r>
              <w:rPr>
                <w:b/>
                <w:sz w:val="14"/>
              </w:rPr>
              <w:t>/</w:t>
            </w:r>
            <w:r w:rsidR="00BF0E21">
              <w:rPr>
                <w:b/>
                <w:sz w:val="14"/>
              </w:rPr>
              <w:t>2</w:t>
            </w:r>
            <w:r>
              <w:rPr>
                <w:b/>
                <w:sz w:val="14"/>
              </w:rPr>
              <w:t xml:space="preserve">) </w:t>
            </w:r>
            <w:r>
              <w:rPr>
                <w:rFonts w:ascii="Calibri" w:eastAsia="Calibri" w:hAnsi="Calibri" w:cs="Calibri"/>
                <w:sz w:val="14"/>
              </w:rPr>
              <w:t xml:space="preserve"> </w:t>
            </w:r>
          </w:p>
        </w:tc>
      </w:tr>
      <w:tr w:rsidR="00AB3BCE" w14:paraId="6371D9AD" w14:textId="77777777" w:rsidTr="00AB3BCE">
        <w:trPr>
          <w:trHeight w:val="302"/>
        </w:trPr>
        <w:tc>
          <w:tcPr>
            <w:tcW w:w="2597" w:type="dxa"/>
            <w:tcBorders>
              <w:top w:val="single" w:sz="4" w:space="0" w:color="000000"/>
              <w:left w:val="single" w:sz="4" w:space="0" w:color="000000"/>
              <w:bottom w:val="single" w:sz="4" w:space="0" w:color="000000"/>
              <w:right w:val="single" w:sz="4" w:space="0" w:color="000000"/>
            </w:tcBorders>
          </w:tcPr>
          <w:p w14:paraId="2E91D679" w14:textId="77777777" w:rsidR="00AB3BCE" w:rsidRDefault="00AB3BCE">
            <w:pPr>
              <w:spacing w:after="0" w:line="259" w:lineRule="auto"/>
              <w:ind w:left="0" w:right="0" w:firstLine="0"/>
              <w:jc w:val="left"/>
            </w:pPr>
            <w:r>
              <w:rPr>
                <w:b/>
                <w:sz w:val="14"/>
              </w:rPr>
              <w:t xml:space="preserve"> </w:t>
            </w:r>
            <w:r>
              <w:rPr>
                <w:rFonts w:ascii="Calibri" w:eastAsia="Calibri" w:hAnsi="Calibri" w:cs="Calibri"/>
                <w:sz w:val="14"/>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2BDDB441" w14:textId="77777777" w:rsidR="00AB3BCE" w:rsidRDefault="00AB3BCE">
            <w:pPr>
              <w:spacing w:after="0" w:line="259" w:lineRule="auto"/>
              <w:ind w:left="0" w:right="25" w:firstLine="0"/>
              <w:jc w:val="center"/>
            </w:pPr>
            <w:r>
              <w:rPr>
                <w:b/>
                <w:sz w:val="14"/>
              </w:rPr>
              <w:t xml:space="preserve">1 </w:t>
            </w:r>
            <w:r>
              <w:rPr>
                <w:rFonts w:ascii="Calibri" w:eastAsia="Calibri" w:hAnsi="Calibri" w:cs="Calibri"/>
                <w:sz w:val="14"/>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7358E259" w14:textId="77777777" w:rsidR="00AB3BCE" w:rsidRDefault="00AB3BCE">
            <w:pPr>
              <w:spacing w:after="0" w:line="259" w:lineRule="auto"/>
              <w:ind w:left="0" w:right="30" w:firstLine="0"/>
              <w:jc w:val="center"/>
              <w:rPr>
                <w:b/>
                <w:sz w:val="14"/>
              </w:rPr>
            </w:pPr>
            <w:r>
              <w:rPr>
                <w:b/>
                <w:sz w:val="14"/>
              </w:rPr>
              <w:t>2</w:t>
            </w:r>
          </w:p>
        </w:tc>
        <w:tc>
          <w:tcPr>
            <w:tcW w:w="1477" w:type="dxa"/>
            <w:tcBorders>
              <w:top w:val="single" w:sz="4" w:space="0" w:color="000000"/>
              <w:left w:val="single" w:sz="4" w:space="0" w:color="000000"/>
              <w:bottom w:val="single" w:sz="4" w:space="0" w:color="000000"/>
              <w:right w:val="single" w:sz="4" w:space="0" w:color="000000"/>
            </w:tcBorders>
          </w:tcPr>
          <w:p w14:paraId="33F06E23" w14:textId="77777777" w:rsidR="00AB3BCE" w:rsidRDefault="00AB3BCE">
            <w:pPr>
              <w:spacing w:after="0" w:line="259" w:lineRule="auto"/>
              <w:ind w:left="0" w:right="30" w:firstLine="0"/>
              <w:jc w:val="center"/>
            </w:pPr>
            <w:r>
              <w:rPr>
                <w:b/>
                <w:sz w:val="14"/>
              </w:rPr>
              <w:t xml:space="preserve">3 </w:t>
            </w:r>
            <w:r>
              <w:rPr>
                <w:rFonts w:ascii="Calibri" w:eastAsia="Calibri" w:hAnsi="Calibri" w:cs="Calibri"/>
                <w:sz w:val="14"/>
              </w:rPr>
              <w:t xml:space="preserve"> </w:t>
            </w:r>
          </w:p>
        </w:tc>
        <w:tc>
          <w:tcPr>
            <w:tcW w:w="1595" w:type="dxa"/>
            <w:tcBorders>
              <w:top w:val="single" w:sz="4" w:space="0" w:color="000000"/>
              <w:left w:val="single" w:sz="4" w:space="0" w:color="000000"/>
              <w:bottom w:val="single" w:sz="4" w:space="0" w:color="000000"/>
              <w:right w:val="single" w:sz="4" w:space="0" w:color="auto"/>
            </w:tcBorders>
          </w:tcPr>
          <w:p w14:paraId="29BE0DA8" w14:textId="77777777" w:rsidR="00AB3BCE" w:rsidRDefault="00AB3BCE">
            <w:pPr>
              <w:spacing w:after="0" w:line="259" w:lineRule="auto"/>
              <w:ind w:left="0" w:right="31" w:firstLine="0"/>
              <w:jc w:val="center"/>
            </w:pPr>
            <w:r>
              <w:rPr>
                <w:b/>
                <w:sz w:val="14"/>
              </w:rPr>
              <w:t xml:space="preserve">4 </w:t>
            </w:r>
            <w:r>
              <w:rPr>
                <w:rFonts w:ascii="Calibri" w:eastAsia="Calibri" w:hAnsi="Calibri" w:cs="Calibri"/>
                <w:sz w:val="14"/>
              </w:rPr>
              <w:t xml:space="preserve"> </w:t>
            </w:r>
          </w:p>
        </w:tc>
        <w:tc>
          <w:tcPr>
            <w:tcW w:w="1104" w:type="dxa"/>
            <w:tcBorders>
              <w:top w:val="single" w:sz="4" w:space="0" w:color="auto"/>
              <w:left w:val="single" w:sz="4" w:space="0" w:color="auto"/>
              <w:bottom w:val="single" w:sz="4" w:space="0" w:color="auto"/>
              <w:right w:val="single" w:sz="4" w:space="0" w:color="auto"/>
            </w:tcBorders>
          </w:tcPr>
          <w:p w14:paraId="7B1EB0CE" w14:textId="77777777" w:rsidR="00AB3BCE" w:rsidRDefault="00AB3BCE">
            <w:pPr>
              <w:spacing w:after="0" w:line="259" w:lineRule="auto"/>
              <w:ind w:left="0" w:right="25" w:firstLine="0"/>
              <w:jc w:val="center"/>
            </w:pPr>
            <w:r>
              <w:rPr>
                <w:b/>
                <w:sz w:val="14"/>
              </w:rPr>
              <w:t xml:space="preserve">5 </w:t>
            </w:r>
            <w:r>
              <w:rPr>
                <w:rFonts w:ascii="Calibri" w:eastAsia="Calibri" w:hAnsi="Calibri" w:cs="Calibri"/>
                <w:sz w:val="14"/>
              </w:rPr>
              <w:t xml:space="preserve"> </w:t>
            </w:r>
          </w:p>
        </w:tc>
      </w:tr>
      <w:tr w:rsidR="00AB3BCE" w14:paraId="5DF0EA76" w14:textId="77777777" w:rsidTr="00AB3BCE">
        <w:trPr>
          <w:trHeight w:val="300"/>
        </w:trPr>
        <w:tc>
          <w:tcPr>
            <w:tcW w:w="2597" w:type="dxa"/>
            <w:tcBorders>
              <w:top w:val="single" w:sz="4" w:space="0" w:color="000000"/>
              <w:left w:val="single" w:sz="4" w:space="0" w:color="000000"/>
              <w:bottom w:val="single" w:sz="4" w:space="0" w:color="000000"/>
              <w:right w:val="single" w:sz="4" w:space="0" w:color="000000"/>
            </w:tcBorders>
          </w:tcPr>
          <w:p w14:paraId="21B8B204" w14:textId="77777777" w:rsidR="00AB3BCE" w:rsidRDefault="00AB3BCE" w:rsidP="00AB3BCE">
            <w:pPr>
              <w:spacing w:after="0" w:line="259" w:lineRule="auto"/>
              <w:ind w:left="0" w:right="0" w:firstLine="0"/>
              <w:jc w:val="left"/>
            </w:pPr>
            <w:r>
              <w:rPr>
                <w:sz w:val="14"/>
              </w:rPr>
              <w:t xml:space="preserve">Prihodi od poreza (61) </w:t>
            </w:r>
            <w:r>
              <w:rPr>
                <w:rFonts w:ascii="Calibri" w:eastAsia="Calibri" w:hAnsi="Calibri" w:cs="Calibri"/>
                <w:sz w:val="14"/>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45921A12" w14:textId="77777777" w:rsidR="00AB3BCE" w:rsidRDefault="00AB3BCE" w:rsidP="00AB3BCE">
            <w:pPr>
              <w:spacing w:after="0" w:line="259" w:lineRule="auto"/>
              <w:ind w:left="0" w:right="74" w:firstLine="0"/>
              <w:jc w:val="right"/>
            </w:pPr>
            <w:r>
              <w:rPr>
                <w:sz w:val="14"/>
              </w:rPr>
              <w:t xml:space="preserve">2.059.300,00 </w:t>
            </w:r>
            <w:r>
              <w:rPr>
                <w:rFonts w:ascii="Calibri" w:eastAsia="Calibri" w:hAnsi="Calibri" w:cs="Calibri"/>
                <w:sz w:val="14"/>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10FEFD7B" w14:textId="77777777" w:rsidR="00AB3BCE" w:rsidRDefault="00AB3BCE" w:rsidP="00AB3BCE">
            <w:pPr>
              <w:spacing w:after="0" w:line="259" w:lineRule="auto"/>
              <w:ind w:left="0" w:right="75" w:firstLine="0"/>
              <w:jc w:val="right"/>
            </w:pPr>
            <w:r>
              <w:rPr>
                <w:sz w:val="14"/>
              </w:rPr>
              <w:t xml:space="preserve">2.760.462,81 </w:t>
            </w:r>
            <w:r>
              <w:rPr>
                <w:rFonts w:ascii="Calibri" w:eastAsia="Calibri" w:hAnsi="Calibri" w:cs="Calibri"/>
                <w:sz w:val="14"/>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214F2277" w14:textId="77777777" w:rsidR="00AB3BCE" w:rsidRPr="00E21228" w:rsidRDefault="00E21228" w:rsidP="00AB3BCE">
            <w:pPr>
              <w:spacing w:after="0" w:line="259" w:lineRule="auto"/>
              <w:ind w:left="0" w:right="79" w:firstLine="0"/>
              <w:jc w:val="right"/>
              <w:rPr>
                <w:sz w:val="16"/>
                <w:szCs w:val="16"/>
              </w:rPr>
            </w:pPr>
            <w:r w:rsidRPr="00E21228">
              <w:rPr>
                <w:sz w:val="16"/>
                <w:szCs w:val="16"/>
              </w:rPr>
              <w:t>-70.097,81</w:t>
            </w:r>
          </w:p>
        </w:tc>
        <w:tc>
          <w:tcPr>
            <w:tcW w:w="1595" w:type="dxa"/>
            <w:tcBorders>
              <w:top w:val="single" w:sz="4" w:space="0" w:color="000000"/>
              <w:left w:val="single" w:sz="4" w:space="0" w:color="000000"/>
              <w:bottom w:val="single" w:sz="4" w:space="0" w:color="000000"/>
              <w:right w:val="single" w:sz="4" w:space="0" w:color="auto"/>
            </w:tcBorders>
          </w:tcPr>
          <w:p w14:paraId="73E9ED58" w14:textId="77777777" w:rsidR="00AB3BCE" w:rsidRPr="00E21228" w:rsidRDefault="00E21228" w:rsidP="00AB3BCE">
            <w:pPr>
              <w:spacing w:after="0" w:line="259" w:lineRule="auto"/>
              <w:ind w:left="0" w:right="75" w:firstLine="0"/>
              <w:jc w:val="right"/>
              <w:rPr>
                <w:sz w:val="16"/>
                <w:szCs w:val="16"/>
              </w:rPr>
            </w:pPr>
            <w:r>
              <w:rPr>
                <w:sz w:val="16"/>
                <w:szCs w:val="16"/>
              </w:rPr>
              <w:t>2.690.365,00</w:t>
            </w:r>
          </w:p>
        </w:tc>
        <w:tc>
          <w:tcPr>
            <w:tcW w:w="1104" w:type="dxa"/>
            <w:tcBorders>
              <w:top w:val="single" w:sz="4" w:space="0" w:color="auto"/>
              <w:left w:val="single" w:sz="4" w:space="0" w:color="auto"/>
              <w:bottom w:val="single" w:sz="4" w:space="0" w:color="auto"/>
              <w:right w:val="single" w:sz="4" w:space="0" w:color="auto"/>
            </w:tcBorders>
          </w:tcPr>
          <w:p w14:paraId="7043390F" w14:textId="77777777" w:rsidR="00AB3BCE" w:rsidRPr="00E21228" w:rsidRDefault="00E21228" w:rsidP="00AB3BCE">
            <w:pPr>
              <w:spacing w:after="0" w:line="259" w:lineRule="auto"/>
              <w:ind w:left="0" w:right="74" w:firstLine="0"/>
              <w:jc w:val="right"/>
            </w:pPr>
            <w:r w:rsidRPr="00E21228">
              <w:rPr>
                <w:sz w:val="14"/>
              </w:rPr>
              <w:t>97</w:t>
            </w:r>
          </w:p>
        </w:tc>
      </w:tr>
      <w:tr w:rsidR="00AB3BCE" w14:paraId="24B65975" w14:textId="77777777" w:rsidTr="00AB3BCE">
        <w:trPr>
          <w:trHeight w:val="298"/>
        </w:trPr>
        <w:tc>
          <w:tcPr>
            <w:tcW w:w="2597" w:type="dxa"/>
            <w:tcBorders>
              <w:top w:val="single" w:sz="4" w:space="0" w:color="000000"/>
              <w:left w:val="single" w:sz="4" w:space="0" w:color="000000"/>
              <w:bottom w:val="single" w:sz="4" w:space="0" w:color="000000"/>
              <w:right w:val="single" w:sz="4" w:space="0" w:color="000000"/>
            </w:tcBorders>
          </w:tcPr>
          <w:p w14:paraId="7E5F8E00" w14:textId="77777777" w:rsidR="00AB3BCE" w:rsidRDefault="00AB3BCE" w:rsidP="00AB3BCE">
            <w:pPr>
              <w:spacing w:after="0" w:line="259" w:lineRule="auto"/>
              <w:ind w:left="0" w:right="0" w:firstLine="0"/>
              <w:jc w:val="left"/>
            </w:pPr>
            <w:r>
              <w:rPr>
                <w:sz w:val="14"/>
              </w:rPr>
              <w:t xml:space="preserve">Pomoći (63) </w:t>
            </w:r>
            <w:r>
              <w:rPr>
                <w:rFonts w:ascii="Calibri" w:eastAsia="Calibri" w:hAnsi="Calibri" w:cs="Calibri"/>
                <w:sz w:val="14"/>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32D78DBD" w14:textId="77777777" w:rsidR="00AB3BCE" w:rsidRDefault="00AB3BCE" w:rsidP="00AB3BCE">
            <w:pPr>
              <w:spacing w:after="0" w:line="259" w:lineRule="auto"/>
              <w:ind w:left="0" w:right="79" w:firstLine="0"/>
              <w:jc w:val="right"/>
            </w:pPr>
            <w:r>
              <w:rPr>
                <w:sz w:val="14"/>
              </w:rPr>
              <w:t xml:space="preserve">1.911.334,66 </w:t>
            </w:r>
            <w:r>
              <w:rPr>
                <w:rFonts w:ascii="Calibri" w:eastAsia="Calibri" w:hAnsi="Calibri" w:cs="Calibri"/>
                <w:sz w:val="14"/>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12654954" w14:textId="77777777" w:rsidR="00AB3BCE" w:rsidRDefault="00AB3BCE" w:rsidP="00AB3BCE">
            <w:pPr>
              <w:spacing w:after="0" w:line="259" w:lineRule="auto"/>
              <w:ind w:left="0" w:right="75" w:firstLine="0"/>
              <w:jc w:val="right"/>
            </w:pPr>
            <w:r>
              <w:rPr>
                <w:sz w:val="14"/>
              </w:rPr>
              <w:t xml:space="preserve">1.762.244,38 </w:t>
            </w:r>
            <w:r>
              <w:rPr>
                <w:rFonts w:ascii="Calibri" w:eastAsia="Calibri" w:hAnsi="Calibri" w:cs="Calibri"/>
                <w:sz w:val="14"/>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52BAE1CC" w14:textId="77777777" w:rsidR="00AB3BCE" w:rsidRPr="00E21228" w:rsidRDefault="00E21228" w:rsidP="00AB3BCE">
            <w:pPr>
              <w:spacing w:after="0" w:line="259" w:lineRule="auto"/>
              <w:ind w:left="0" w:right="79" w:firstLine="0"/>
              <w:jc w:val="right"/>
              <w:rPr>
                <w:sz w:val="16"/>
                <w:szCs w:val="16"/>
              </w:rPr>
            </w:pPr>
            <w:r>
              <w:rPr>
                <w:sz w:val="16"/>
                <w:szCs w:val="16"/>
              </w:rPr>
              <w:t>-292.244,38</w:t>
            </w:r>
          </w:p>
        </w:tc>
        <w:tc>
          <w:tcPr>
            <w:tcW w:w="1595" w:type="dxa"/>
            <w:tcBorders>
              <w:top w:val="single" w:sz="4" w:space="0" w:color="000000"/>
              <w:left w:val="single" w:sz="4" w:space="0" w:color="000000"/>
              <w:bottom w:val="single" w:sz="4" w:space="0" w:color="000000"/>
              <w:right w:val="single" w:sz="4" w:space="0" w:color="auto"/>
            </w:tcBorders>
          </w:tcPr>
          <w:p w14:paraId="6675377C" w14:textId="77777777" w:rsidR="00AB3BCE" w:rsidRPr="00E21228" w:rsidRDefault="00E21228" w:rsidP="00AB3BCE">
            <w:pPr>
              <w:spacing w:after="0" w:line="259" w:lineRule="auto"/>
              <w:ind w:left="0" w:right="75" w:firstLine="0"/>
              <w:jc w:val="right"/>
              <w:rPr>
                <w:sz w:val="16"/>
                <w:szCs w:val="16"/>
              </w:rPr>
            </w:pPr>
            <w:r>
              <w:rPr>
                <w:sz w:val="16"/>
                <w:szCs w:val="16"/>
              </w:rPr>
              <w:t>1.470.000,00</w:t>
            </w:r>
          </w:p>
        </w:tc>
        <w:tc>
          <w:tcPr>
            <w:tcW w:w="1104" w:type="dxa"/>
            <w:tcBorders>
              <w:top w:val="single" w:sz="4" w:space="0" w:color="auto"/>
              <w:left w:val="single" w:sz="4" w:space="0" w:color="auto"/>
              <w:bottom w:val="single" w:sz="4" w:space="0" w:color="auto"/>
              <w:right w:val="single" w:sz="4" w:space="0" w:color="auto"/>
            </w:tcBorders>
          </w:tcPr>
          <w:p w14:paraId="39DE6ADC" w14:textId="77777777" w:rsidR="00AB3BCE" w:rsidRPr="00E21228" w:rsidRDefault="00E21228" w:rsidP="00AB3BCE">
            <w:pPr>
              <w:spacing w:after="0" w:line="259" w:lineRule="auto"/>
              <w:ind w:left="0" w:right="72" w:firstLine="0"/>
              <w:jc w:val="right"/>
            </w:pPr>
            <w:r>
              <w:rPr>
                <w:sz w:val="14"/>
              </w:rPr>
              <w:t>83</w:t>
            </w:r>
          </w:p>
        </w:tc>
      </w:tr>
      <w:tr w:rsidR="00AB3BCE" w14:paraId="7A69BDCE" w14:textId="77777777" w:rsidTr="00AB3BCE">
        <w:trPr>
          <w:trHeight w:val="298"/>
        </w:trPr>
        <w:tc>
          <w:tcPr>
            <w:tcW w:w="2597" w:type="dxa"/>
            <w:tcBorders>
              <w:top w:val="single" w:sz="4" w:space="0" w:color="000000"/>
              <w:left w:val="single" w:sz="4" w:space="0" w:color="000000"/>
              <w:bottom w:val="single" w:sz="4" w:space="0" w:color="000000"/>
              <w:right w:val="single" w:sz="4" w:space="0" w:color="000000"/>
            </w:tcBorders>
          </w:tcPr>
          <w:p w14:paraId="0292A7B0" w14:textId="77777777" w:rsidR="00AB3BCE" w:rsidRDefault="00AB3BCE" w:rsidP="00AB3BCE">
            <w:pPr>
              <w:spacing w:after="0" w:line="259" w:lineRule="auto"/>
              <w:ind w:left="0" w:right="0" w:firstLine="0"/>
              <w:jc w:val="left"/>
            </w:pPr>
            <w:r>
              <w:rPr>
                <w:sz w:val="14"/>
              </w:rPr>
              <w:t xml:space="preserve">Prihodi od imovine (64) </w:t>
            </w:r>
            <w:r>
              <w:rPr>
                <w:rFonts w:ascii="Calibri" w:eastAsia="Calibri" w:hAnsi="Calibri" w:cs="Calibri"/>
                <w:sz w:val="14"/>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4F37B7AB" w14:textId="77777777" w:rsidR="00AB3BCE" w:rsidRDefault="00AB3BCE" w:rsidP="00AB3BCE">
            <w:pPr>
              <w:spacing w:after="0" w:line="259" w:lineRule="auto"/>
              <w:ind w:left="0" w:right="74" w:firstLine="0"/>
              <w:jc w:val="right"/>
            </w:pPr>
            <w:r>
              <w:rPr>
                <w:sz w:val="14"/>
              </w:rPr>
              <w:t xml:space="preserve">278.940,00 </w:t>
            </w:r>
            <w:r>
              <w:rPr>
                <w:rFonts w:ascii="Calibri" w:eastAsia="Calibri" w:hAnsi="Calibri" w:cs="Calibri"/>
                <w:sz w:val="14"/>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278E05D3" w14:textId="77777777" w:rsidR="00AB3BCE" w:rsidRDefault="00AB3BCE" w:rsidP="00AB3BCE">
            <w:pPr>
              <w:spacing w:after="0" w:line="259" w:lineRule="auto"/>
              <w:ind w:left="0" w:right="75" w:firstLine="0"/>
              <w:jc w:val="right"/>
            </w:pPr>
            <w:r>
              <w:rPr>
                <w:sz w:val="14"/>
              </w:rPr>
              <w:t xml:space="preserve">318.316,00 </w:t>
            </w:r>
            <w:r>
              <w:rPr>
                <w:rFonts w:ascii="Calibri" w:eastAsia="Calibri" w:hAnsi="Calibri" w:cs="Calibri"/>
                <w:sz w:val="14"/>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0E822CF2" w14:textId="77777777" w:rsidR="00AB3BCE" w:rsidRPr="00E21228" w:rsidRDefault="00E21228" w:rsidP="00AB3BCE">
            <w:pPr>
              <w:spacing w:after="0" w:line="259" w:lineRule="auto"/>
              <w:ind w:left="0" w:right="77" w:firstLine="0"/>
              <w:jc w:val="right"/>
              <w:rPr>
                <w:sz w:val="16"/>
                <w:szCs w:val="16"/>
              </w:rPr>
            </w:pPr>
            <w:r>
              <w:rPr>
                <w:sz w:val="16"/>
                <w:szCs w:val="16"/>
              </w:rPr>
              <w:t>-26.416,81</w:t>
            </w:r>
          </w:p>
        </w:tc>
        <w:tc>
          <w:tcPr>
            <w:tcW w:w="1595" w:type="dxa"/>
            <w:tcBorders>
              <w:top w:val="single" w:sz="4" w:space="0" w:color="000000"/>
              <w:left w:val="single" w:sz="4" w:space="0" w:color="000000"/>
              <w:bottom w:val="single" w:sz="4" w:space="0" w:color="000000"/>
              <w:right w:val="single" w:sz="4" w:space="0" w:color="auto"/>
            </w:tcBorders>
          </w:tcPr>
          <w:p w14:paraId="330309B8" w14:textId="77777777" w:rsidR="00AB3BCE" w:rsidRPr="00E21228" w:rsidRDefault="00E21228" w:rsidP="00AB3BCE">
            <w:pPr>
              <w:spacing w:after="0" w:line="259" w:lineRule="auto"/>
              <w:ind w:left="0" w:right="75" w:firstLine="0"/>
              <w:jc w:val="right"/>
              <w:rPr>
                <w:sz w:val="16"/>
                <w:szCs w:val="16"/>
              </w:rPr>
            </w:pPr>
            <w:r>
              <w:rPr>
                <w:sz w:val="16"/>
                <w:szCs w:val="16"/>
              </w:rPr>
              <w:t>291.899,19</w:t>
            </w:r>
          </w:p>
        </w:tc>
        <w:tc>
          <w:tcPr>
            <w:tcW w:w="1104" w:type="dxa"/>
            <w:tcBorders>
              <w:top w:val="single" w:sz="4" w:space="0" w:color="auto"/>
              <w:left w:val="single" w:sz="4" w:space="0" w:color="auto"/>
              <w:bottom w:val="single" w:sz="4" w:space="0" w:color="auto"/>
              <w:right w:val="single" w:sz="4" w:space="0" w:color="auto"/>
            </w:tcBorders>
          </w:tcPr>
          <w:p w14:paraId="1698AE77" w14:textId="77777777" w:rsidR="00AB3BCE" w:rsidRPr="00E21228" w:rsidRDefault="00E21228" w:rsidP="00AB3BCE">
            <w:pPr>
              <w:spacing w:after="0" w:line="259" w:lineRule="auto"/>
              <w:ind w:left="0" w:right="72" w:firstLine="0"/>
              <w:jc w:val="right"/>
            </w:pPr>
            <w:r>
              <w:rPr>
                <w:sz w:val="14"/>
              </w:rPr>
              <w:t>92</w:t>
            </w:r>
            <w:r w:rsidR="00AB3BCE" w:rsidRPr="00E21228">
              <w:rPr>
                <w:rFonts w:ascii="Calibri" w:eastAsia="Calibri" w:hAnsi="Calibri" w:cs="Calibri"/>
                <w:sz w:val="14"/>
              </w:rPr>
              <w:t xml:space="preserve"> </w:t>
            </w:r>
          </w:p>
        </w:tc>
      </w:tr>
      <w:tr w:rsidR="00AB3BCE" w14:paraId="6A0717FD" w14:textId="77777777" w:rsidTr="00AB3BCE">
        <w:trPr>
          <w:trHeight w:val="278"/>
        </w:trPr>
        <w:tc>
          <w:tcPr>
            <w:tcW w:w="2597" w:type="dxa"/>
            <w:tcBorders>
              <w:top w:val="single" w:sz="4" w:space="0" w:color="000000"/>
              <w:left w:val="single" w:sz="4" w:space="0" w:color="000000"/>
              <w:bottom w:val="single" w:sz="4" w:space="0" w:color="000000"/>
              <w:right w:val="single" w:sz="4" w:space="0" w:color="000000"/>
            </w:tcBorders>
          </w:tcPr>
          <w:p w14:paraId="45A378FA" w14:textId="77777777" w:rsidR="00AB3BCE" w:rsidRDefault="00AB3BCE" w:rsidP="00AB3BCE">
            <w:pPr>
              <w:spacing w:after="0" w:line="259" w:lineRule="auto"/>
              <w:ind w:left="0" w:right="0" w:firstLine="0"/>
              <w:jc w:val="left"/>
            </w:pPr>
            <w:r>
              <w:rPr>
                <w:sz w:val="14"/>
              </w:rPr>
              <w:t>Od upravnih prist. i po pos.prop.</w:t>
            </w:r>
            <w:r w:rsidR="00E21228">
              <w:rPr>
                <w:sz w:val="14"/>
              </w:rPr>
              <w:t xml:space="preserve"> (kom.nakn. i dopr.) (65) </w:t>
            </w:r>
            <w:r w:rsidR="00E21228">
              <w:rPr>
                <w:rFonts w:ascii="Calibri" w:eastAsia="Calibri" w:hAnsi="Calibri" w:cs="Calibri"/>
                <w:sz w:val="14"/>
              </w:rPr>
              <w:t xml:space="preserve"> </w:t>
            </w:r>
            <w:r>
              <w:rPr>
                <w:sz w:val="14"/>
              </w:rPr>
              <w:t xml:space="preserve"> </w:t>
            </w:r>
            <w:r>
              <w:rPr>
                <w:rFonts w:ascii="Calibri" w:eastAsia="Calibri" w:hAnsi="Calibri" w:cs="Calibri"/>
                <w:sz w:val="14"/>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2B64F373" w14:textId="77777777" w:rsidR="00AB3BCE" w:rsidRDefault="00AB3BCE" w:rsidP="00AB3BCE">
            <w:pPr>
              <w:spacing w:after="0" w:line="259" w:lineRule="auto"/>
              <w:ind w:left="0" w:right="74" w:firstLine="0"/>
              <w:jc w:val="right"/>
            </w:pPr>
            <w:r>
              <w:rPr>
                <w:sz w:val="14"/>
              </w:rPr>
              <w:t xml:space="preserve">515.002,99 </w:t>
            </w:r>
            <w:r>
              <w:rPr>
                <w:rFonts w:ascii="Calibri" w:eastAsia="Calibri" w:hAnsi="Calibri" w:cs="Calibri"/>
                <w:sz w:val="14"/>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5ADC5A71" w14:textId="77777777" w:rsidR="00AB3BCE" w:rsidRDefault="00AB3BCE" w:rsidP="00AB3BCE">
            <w:pPr>
              <w:spacing w:after="0" w:line="259" w:lineRule="auto"/>
              <w:ind w:left="0" w:right="77" w:firstLine="0"/>
              <w:jc w:val="right"/>
            </w:pPr>
            <w:r>
              <w:rPr>
                <w:sz w:val="14"/>
              </w:rPr>
              <w:t xml:space="preserve">590.800,00 </w:t>
            </w:r>
            <w:r>
              <w:rPr>
                <w:rFonts w:ascii="Calibri" w:eastAsia="Calibri" w:hAnsi="Calibri" w:cs="Calibri"/>
                <w:sz w:val="14"/>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52868ED2" w14:textId="77777777" w:rsidR="00AB3BCE" w:rsidRPr="00E21228" w:rsidRDefault="00E21228" w:rsidP="00AB3BCE">
            <w:pPr>
              <w:spacing w:after="0" w:line="259" w:lineRule="auto"/>
              <w:ind w:left="0" w:right="79" w:firstLine="0"/>
              <w:jc w:val="right"/>
              <w:rPr>
                <w:sz w:val="16"/>
                <w:szCs w:val="16"/>
              </w:rPr>
            </w:pPr>
            <w:r>
              <w:rPr>
                <w:sz w:val="16"/>
                <w:szCs w:val="16"/>
              </w:rPr>
              <w:t>15.000,00</w:t>
            </w:r>
          </w:p>
        </w:tc>
        <w:tc>
          <w:tcPr>
            <w:tcW w:w="1595" w:type="dxa"/>
            <w:tcBorders>
              <w:top w:val="single" w:sz="4" w:space="0" w:color="000000"/>
              <w:left w:val="single" w:sz="4" w:space="0" w:color="000000"/>
              <w:bottom w:val="single" w:sz="4" w:space="0" w:color="000000"/>
              <w:right w:val="single" w:sz="4" w:space="0" w:color="auto"/>
            </w:tcBorders>
          </w:tcPr>
          <w:p w14:paraId="0F21EC1A" w14:textId="77777777" w:rsidR="00AB3BCE" w:rsidRPr="00E21228" w:rsidRDefault="00E21228" w:rsidP="00AB3BCE">
            <w:pPr>
              <w:spacing w:after="0" w:line="259" w:lineRule="auto"/>
              <w:ind w:left="0" w:right="77" w:firstLine="0"/>
              <w:jc w:val="right"/>
              <w:rPr>
                <w:sz w:val="16"/>
                <w:szCs w:val="16"/>
              </w:rPr>
            </w:pPr>
            <w:r>
              <w:rPr>
                <w:sz w:val="16"/>
                <w:szCs w:val="16"/>
              </w:rPr>
              <w:t>605.800,00</w:t>
            </w:r>
          </w:p>
        </w:tc>
        <w:tc>
          <w:tcPr>
            <w:tcW w:w="1104" w:type="dxa"/>
            <w:tcBorders>
              <w:top w:val="single" w:sz="4" w:space="0" w:color="auto"/>
              <w:left w:val="single" w:sz="4" w:space="0" w:color="auto"/>
              <w:bottom w:val="single" w:sz="4" w:space="0" w:color="auto"/>
              <w:right w:val="single" w:sz="4" w:space="0" w:color="auto"/>
            </w:tcBorders>
          </w:tcPr>
          <w:p w14:paraId="236B64CF" w14:textId="77777777" w:rsidR="00AB3BCE" w:rsidRPr="00E21228" w:rsidRDefault="00E21228" w:rsidP="00AB3BCE">
            <w:pPr>
              <w:spacing w:after="0" w:line="259" w:lineRule="auto"/>
              <w:ind w:left="0" w:right="74" w:firstLine="0"/>
              <w:jc w:val="right"/>
            </w:pPr>
            <w:r>
              <w:rPr>
                <w:sz w:val="14"/>
              </w:rPr>
              <w:t>103</w:t>
            </w:r>
          </w:p>
        </w:tc>
      </w:tr>
      <w:tr w:rsidR="00AB3BCE" w14:paraId="67B96DEA" w14:textId="77777777" w:rsidTr="00AB3BCE">
        <w:trPr>
          <w:trHeight w:val="440"/>
        </w:trPr>
        <w:tc>
          <w:tcPr>
            <w:tcW w:w="2597" w:type="dxa"/>
            <w:tcBorders>
              <w:top w:val="single" w:sz="4" w:space="0" w:color="000000"/>
              <w:left w:val="single" w:sz="4" w:space="0" w:color="000000"/>
              <w:bottom w:val="single" w:sz="4" w:space="0" w:color="000000"/>
              <w:right w:val="single" w:sz="4" w:space="0" w:color="000000"/>
            </w:tcBorders>
          </w:tcPr>
          <w:p w14:paraId="2D3026FE" w14:textId="77777777" w:rsidR="00AB3BCE" w:rsidRDefault="00AB3BCE" w:rsidP="00AB3BCE">
            <w:pPr>
              <w:spacing w:after="0" w:line="259" w:lineRule="auto"/>
              <w:ind w:right="0"/>
              <w:jc w:val="left"/>
            </w:pPr>
            <w:r>
              <w:rPr>
                <w:sz w:val="14"/>
              </w:rPr>
              <w:t xml:space="preserve">Prihodi o prodaje proizvoda i robe te pruženih usluga i prihodi od donacija (66) </w:t>
            </w:r>
            <w:r>
              <w:rPr>
                <w:rFonts w:ascii="Calibri" w:eastAsia="Calibri" w:hAnsi="Calibri" w:cs="Calibri"/>
                <w:sz w:val="14"/>
              </w:rPr>
              <w:t xml:space="preserve"> </w:t>
            </w:r>
          </w:p>
        </w:tc>
        <w:tc>
          <w:tcPr>
            <w:tcW w:w="1409" w:type="dxa"/>
            <w:tcBorders>
              <w:top w:val="single" w:sz="4" w:space="0" w:color="000000"/>
              <w:left w:val="single" w:sz="4" w:space="0" w:color="000000"/>
              <w:bottom w:val="single" w:sz="4" w:space="0" w:color="000000"/>
              <w:right w:val="single" w:sz="4" w:space="0" w:color="000000"/>
            </w:tcBorders>
            <w:vAlign w:val="center"/>
          </w:tcPr>
          <w:p w14:paraId="2B54AF33" w14:textId="77777777" w:rsidR="00AB3BCE" w:rsidRDefault="00AB3BCE" w:rsidP="00AB3BCE">
            <w:pPr>
              <w:spacing w:after="0" w:line="259" w:lineRule="auto"/>
              <w:ind w:left="0" w:right="79" w:firstLine="0"/>
              <w:jc w:val="right"/>
            </w:pPr>
            <w:r>
              <w:rPr>
                <w:sz w:val="14"/>
              </w:rPr>
              <w:t xml:space="preserve">26.000,00 </w:t>
            </w:r>
            <w:r>
              <w:rPr>
                <w:rFonts w:ascii="Calibri" w:eastAsia="Calibri" w:hAnsi="Calibri" w:cs="Calibri"/>
                <w:sz w:val="14"/>
              </w:rPr>
              <w:t xml:space="preserve"> </w:t>
            </w:r>
          </w:p>
        </w:tc>
        <w:tc>
          <w:tcPr>
            <w:tcW w:w="1424" w:type="dxa"/>
            <w:tcBorders>
              <w:top w:val="single" w:sz="4" w:space="0" w:color="000000"/>
              <w:left w:val="single" w:sz="4" w:space="0" w:color="000000"/>
              <w:bottom w:val="single" w:sz="4" w:space="0" w:color="000000"/>
              <w:right w:val="single" w:sz="4" w:space="0" w:color="000000"/>
            </w:tcBorders>
            <w:vAlign w:val="center"/>
          </w:tcPr>
          <w:p w14:paraId="6AD1F198" w14:textId="77777777" w:rsidR="00AB3BCE" w:rsidRDefault="00AB3BCE" w:rsidP="00AB3BCE">
            <w:pPr>
              <w:spacing w:after="0" w:line="259" w:lineRule="auto"/>
              <w:ind w:left="0" w:right="80" w:firstLine="0"/>
              <w:jc w:val="right"/>
            </w:pPr>
            <w:r>
              <w:rPr>
                <w:sz w:val="14"/>
              </w:rPr>
              <w:t xml:space="preserve">26.000,00 </w:t>
            </w:r>
            <w:r>
              <w:rPr>
                <w:rFonts w:ascii="Calibri" w:eastAsia="Calibri" w:hAnsi="Calibri" w:cs="Calibri"/>
                <w:sz w:val="14"/>
              </w:rPr>
              <w:t xml:space="preserve"> </w:t>
            </w:r>
          </w:p>
        </w:tc>
        <w:tc>
          <w:tcPr>
            <w:tcW w:w="1477" w:type="dxa"/>
            <w:tcBorders>
              <w:top w:val="single" w:sz="4" w:space="0" w:color="000000"/>
              <w:left w:val="single" w:sz="4" w:space="0" w:color="000000"/>
              <w:bottom w:val="single" w:sz="4" w:space="0" w:color="000000"/>
              <w:right w:val="single" w:sz="4" w:space="0" w:color="000000"/>
            </w:tcBorders>
            <w:vAlign w:val="center"/>
          </w:tcPr>
          <w:p w14:paraId="132E4BA8" w14:textId="77777777" w:rsidR="00AB3BCE" w:rsidRPr="00E21228" w:rsidRDefault="00E21228" w:rsidP="00AB3BCE">
            <w:pPr>
              <w:spacing w:after="0" w:line="259" w:lineRule="auto"/>
              <w:ind w:left="0" w:right="81" w:firstLine="0"/>
              <w:jc w:val="right"/>
              <w:rPr>
                <w:sz w:val="16"/>
                <w:szCs w:val="16"/>
              </w:rPr>
            </w:pPr>
            <w:r>
              <w:rPr>
                <w:sz w:val="16"/>
                <w:szCs w:val="16"/>
              </w:rPr>
              <w:t>0,00</w:t>
            </w:r>
          </w:p>
        </w:tc>
        <w:tc>
          <w:tcPr>
            <w:tcW w:w="1595" w:type="dxa"/>
            <w:tcBorders>
              <w:top w:val="single" w:sz="4" w:space="0" w:color="000000"/>
              <w:left w:val="single" w:sz="4" w:space="0" w:color="000000"/>
              <w:bottom w:val="single" w:sz="4" w:space="0" w:color="000000"/>
              <w:right w:val="single" w:sz="4" w:space="0" w:color="auto"/>
            </w:tcBorders>
            <w:vAlign w:val="center"/>
          </w:tcPr>
          <w:p w14:paraId="7219342F" w14:textId="77777777" w:rsidR="00AB3BCE" w:rsidRPr="00E21228" w:rsidRDefault="00E21228" w:rsidP="00AB3BCE">
            <w:pPr>
              <w:spacing w:after="0" w:line="259" w:lineRule="auto"/>
              <w:ind w:left="0" w:right="80" w:firstLine="0"/>
              <w:jc w:val="right"/>
              <w:rPr>
                <w:sz w:val="16"/>
                <w:szCs w:val="16"/>
              </w:rPr>
            </w:pPr>
            <w:r>
              <w:rPr>
                <w:sz w:val="16"/>
                <w:szCs w:val="16"/>
              </w:rPr>
              <w:t>26.000,00</w:t>
            </w:r>
          </w:p>
        </w:tc>
        <w:tc>
          <w:tcPr>
            <w:tcW w:w="1104" w:type="dxa"/>
            <w:tcBorders>
              <w:top w:val="single" w:sz="4" w:space="0" w:color="auto"/>
              <w:left w:val="single" w:sz="4" w:space="0" w:color="auto"/>
              <w:bottom w:val="single" w:sz="4" w:space="0" w:color="auto"/>
              <w:right w:val="single" w:sz="4" w:space="0" w:color="auto"/>
            </w:tcBorders>
            <w:vAlign w:val="center"/>
          </w:tcPr>
          <w:p w14:paraId="4BF3EC34" w14:textId="77777777" w:rsidR="00AB3BCE" w:rsidRPr="00E21228" w:rsidRDefault="00AB3BCE" w:rsidP="00AB3BCE">
            <w:pPr>
              <w:spacing w:after="0" w:line="259" w:lineRule="auto"/>
              <w:ind w:left="0" w:right="79" w:firstLine="0"/>
              <w:jc w:val="right"/>
            </w:pPr>
            <w:r w:rsidRPr="00E21228">
              <w:rPr>
                <w:sz w:val="14"/>
              </w:rPr>
              <w:t xml:space="preserve">100 </w:t>
            </w:r>
            <w:r w:rsidRPr="00E21228">
              <w:rPr>
                <w:rFonts w:ascii="Calibri" w:eastAsia="Calibri" w:hAnsi="Calibri" w:cs="Calibri"/>
                <w:sz w:val="14"/>
              </w:rPr>
              <w:t xml:space="preserve"> </w:t>
            </w:r>
          </w:p>
        </w:tc>
      </w:tr>
      <w:tr w:rsidR="00AB3BCE" w14:paraId="6A8EFDF9" w14:textId="77777777" w:rsidTr="00AB3BCE">
        <w:trPr>
          <w:trHeight w:val="298"/>
        </w:trPr>
        <w:tc>
          <w:tcPr>
            <w:tcW w:w="2597" w:type="dxa"/>
            <w:tcBorders>
              <w:top w:val="single" w:sz="4" w:space="0" w:color="000000"/>
              <w:left w:val="single" w:sz="4" w:space="0" w:color="000000"/>
              <w:bottom w:val="single" w:sz="4" w:space="0" w:color="000000"/>
              <w:right w:val="single" w:sz="4" w:space="0" w:color="000000"/>
            </w:tcBorders>
          </w:tcPr>
          <w:p w14:paraId="4FBAA0D8" w14:textId="77777777" w:rsidR="00AB3BCE" w:rsidRDefault="00AB3BCE" w:rsidP="00AB3BCE">
            <w:pPr>
              <w:spacing w:after="0" w:line="259" w:lineRule="auto"/>
              <w:ind w:left="0" w:right="0" w:firstLine="0"/>
              <w:jc w:val="left"/>
            </w:pPr>
            <w:r>
              <w:rPr>
                <w:sz w:val="14"/>
              </w:rPr>
              <w:t xml:space="preserve">Ostalo (68) </w:t>
            </w:r>
            <w:r>
              <w:rPr>
                <w:rFonts w:ascii="Calibri" w:eastAsia="Calibri" w:hAnsi="Calibri" w:cs="Calibri"/>
                <w:sz w:val="14"/>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45B95B74" w14:textId="77777777" w:rsidR="00AB3BCE" w:rsidRDefault="00AB3BCE" w:rsidP="00AB3BCE">
            <w:pPr>
              <w:spacing w:after="0" w:line="259" w:lineRule="auto"/>
              <w:ind w:left="0" w:right="79" w:firstLine="0"/>
              <w:jc w:val="right"/>
            </w:pPr>
            <w:r>
              <w:rPr>
                <w:sz w:val="14"/>
              </w:rPr>
              <w:t xml:space="preserve">4.000,00 </w:t>
            </w:r>
            <w:r>
              <w:rPr>
                <w:rFonts w:ascii="Calibri" w:eastAsia="Calibri" w:hAnsi="Calibri" w:cs="Calibri"/>
                <w:sz w:val="14"/>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72F65AF0" w14:textId="77777777" w:rsidR="00AB3BCE" w:rsidRDefault="00AB3BCE" w:rsidP="00AB3BCE">
            <w:pPr>
              <w:spacing w:after="0" w:line="259" w:lineRule="auto"/>
              <w:ind w:left="0" w:right="82" w:firstLine="0"/>
              <w:jc w:val="right"/>
            </w:pPr>
            <w:r>
              <w:rPr>
                <w:sz w:val="14"/>
              </w:rPr>
              <w:t>4.000,00</w:t>
            </w:r>
            <w:r>
              <w:rPr>
                <w:rFonts w:ascii="Calibri" w:eastAsia="Calibri" w:hAnsi="Calibri" w:cs="Calibri"/>
                <w:sz w:val="14"/>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700B954E" w14:textId="77777777" w:rsidR="00AB3BCE" w:rsidRPr="00E21228" w:rsidRDefault="00E21228" w:rsidP="00AB3BCE">
            <w:pPr>
              <w:spacing w:after="0" w:line="259" w:lineRule="auto"/>
              <w:ind w:left="0" w:right="81" w:firstLine="0"/>
              <w:jc w:val="right"/>
              <w:rPr>
                <w:sz w:val="16"/>
                <w:szCs w:val="16"/>
              </w:rPr>
            </w:pPr>
            <w:r>
              <w:rPr>
                <w:sz w:val="16"/>
                <w:szCs w:val="16"/>
              </w:rPr>
              <w:t>0,00</w:t>
            </w:r>
          </w:p>
        </w:tc>
        <w:tc>
          <w:tcPr>
            <w:tcW w:w="1595" w:type="dxa"/>
            <w:tcBorders>
              <w:top w:val="single" w:sz="4" w:space="0" w:color="000000"/>
              <w:left w:val="single" w:sz="4" w:space="0" w:color="000000"/>
              <w:bottom w:val="single" w:sz="4" w:space="0" w:color="000000"/>
              <w:right w:val="single" w:sz="4" w:space="0" w:color="auto"/>
            </w:tcBorders>
          </w:tcPr>
          <w:p w14:paraId="076BD5BD" w14:textId="77777777" w:rsidR="00AB3BCE" w:rsidRPr="00E21228" w:rsidRDefault="00E21228" w:rsidP="00AB3BCE">
            <w:pPr>
              <w:spacing w:after="0" w:line="259" w:lineRule="auto"/>
              <w:ind w:left="0" w:right="82" w:firstLine="0"/>
              <w:jc w:val="right"/>
              <w:rPr>
                <w:sz w:val="16"/>
                <w:szCs w:val="16"/>
              </w:rPr>
            </w:pPr>
            <w:r>
              <w:rPr>
                <w:sz w:val="16"/>
                <w:szCs w:val="16"/>
              </w:rPr>
              <w:t>4.000,00</w:t>
            </w:r>
          </w:p>
        </w:tc>
        <w:tc>
          <w:tcPr>
            <w:tcW w:w="1104" w:type="dxa"/>
            <w:tcBorders>
              <w:top w:val="single" w:sz="4" w:space="0" w:color="auto"/>
              <w:left w:val="single" w:sz="4" w:space="0" w:color="auto"/>
              <w:bottom w:val="single" w:sz="4" w:space="0" w:color="auto"/>
              <w:right w:val="single" w:sz="4" w:space="0" w:color="auto"/>
            </w:tcBorders>
          </w:tcPr>
          <w:p w14:paraId="4EF365A3" w14:textId="77777777" w:rsidR="00AB3BCE" w:rsidRPr="00E21228" w:rsidRDefault="00AB3BCE" w:rsidP="00AB3BCE">
            <w:pPr>
              <w:spacing w:after="0" w:line="259" w:lineRule="auto"/>
              <w:ind w:left="0" w:right="79" w:firstLine="0"/>
              <w:jc w:val="right"/>
            </w:pPr>
            <w:r w:rsidRPr="00E21228">
              <w:rPr>
                <w:sz w:val="14"/>
              </w:rPr>
              <w:t xml:space="preserve">100 </w:t>
            </w:r>
            <w:r w:rsidRPr="00E21228">
              <w:rPr>
                <w:rFonts w:ascii="Calibri" w:eastAsia="Calibri" w:hAnsi="Calibri" w:cs="Calibri"/>
                <w:sz w:val="14"/>
              </w:rPr>
              <w:t xml:space="preserve"> </w:t>
            </w:r>
          </w:p>
        </w:tc>
      </w:tr>
      <w:tr w:rsidR="00AB3BCE" w14:paraId="285985AF" w14:textId="77777777" w:rsidTr="00AB3BCE">
        <w:trPr>
          <w:trHeight w:val="300"/>
        </w:trPr>
        <w:tc>
          <w:tcPr>
            <w:tcW w:w="2597" w:type="dxa"/>
            <w:tcBorders>
              <w:top w:val="single" w:sz="4" w:space="0" w:color="000000"/>
              <w:left w:val="single" w:sz="4" w:space="0" w:color="000000"/>
              <w:bottom w:val="single" w:sz="4" w:space="0" w:color="000000"/>
              <w:right w:val="single" w:sz="4" w:space="0" w:color="000000"/>
            </w:tcBorders>
          </w:tcPr>
          <w:p w14:paraId="0AB2188B" w14:textId="77777777" w:rsidR="00AB3BCE" w:rsidRDefault="00AB3BCE" w:rsidP="00AB3BCE">
            <w:pPr>
              <w:spacing w:after="0" w:line="259" w:lineRule="auto"/>
              <w:ind w:left="0" w:right="0" w:firstLine="0"/>
              <w:jc w:val="left"/>
            </w:pPr>
            <w:r>
              <w:rPr>
                <w:sz w:val="14"/>
              </w:rPr>
              <w:t xml:space="preserve">Od prodaje nefin.imovine (7) </w:t>
            </w:r>
            <w:r>
              <w:rPr>
                <w:rFonts w:ascii="Calibri" w:eastAsia="Calibri" w:hAnsi="Calibri" w:cs="Calibri"/>
                <w:sz w:val="14"/>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6D64533A" w14:textId="77777777" w:rsidR="00AB3BCE" w:rsidRDefault="00AB3BCE" w:rsidP="00AB3BCE">
            <w:pPr>
              <w:spacing w:after="0" w:line="259" w:lineRule="auto"/>
              <w:ind w:left="0" w:right="79" w:firstLine="0"/>
              <w:jc w:val="right"/>
            </w:pPr>
            <w:r>
              <w:rPr>
                <w:sz w:val="14"/>
              </w:rPr>
              <w:t xml:space="preserve">188.791,00 </w:t>
            </w:r>
            <w:r>
              <w:rPr>
                <w:rFonts w:ascii="Calibri" w:eastAsia="Calibri" w:hAnsi="Calibri" w:cs="Calibri"/>
                <w:sz w:val="14"/>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3CD9C3E5" w14:textId="77777777" w:rsidR="00AB3BCE" w:rsidRDefault="00AB3BCE" w:rsidP="00AB3BCE">
            <w:pPr>
              <w:spacing w:after="0" w:line="259" w:lineRule="auto"/>
              <w:ind w:left="0" w:right="80" w:firstLine="0"/>
              <w:jc w:val="right"/>
            </w:pPr>
            <w:r>
              <w:rPr>
                <w:sz w:val="14"/>
              </w:rPr>
              <w:t xml:space="preserve">188.791,00 </w:t>
            </w:r>
            <w:r>
              <w:rPr>
                <w:rFonts w:ascii="Calibri" w:eastAsia="Calibri" w:hAnsi="Calibri" w:cs="Calibri"/>
                <w:sz w:val="14"/>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093CEA5B" w14:textId="77777777" w:rsidR="00AB3BCE" w:rsidRPr="00E21228" w:rsidRDefault="00E21228" w:rsidP="00AB3BCE">
            <w:pPr>
              <w:spacing w:after="0" w:line="259" w:lineRule="auto"/>
              <w:ind w:left="0" w:right="84" w:firstLine="0"/>
              <w:jc w:val="right"/>
              <w:rPr>
                <w:sz w:val="16"/>
                <w:szCs w:val="16"/>
              </w:rPr>
            </w:pPr>
            <w:r>
              <w:rPr>
                <w:sz w:val="16"/>
                <w:szCs w:val="16"/>
              </w:rPr>
              <w:t>-182.741,00</w:t>
            </w:r>
          </w:p>
        </w:tc>
        <w:tc>
          <w:tcPr>
            <w:tcW w:w="1595" w:type="dxa"/>
            <w:tcBorders>
              <w:top w:val="single" w:sz="4" w:space="0" w:color="000000"/>
              <w:left w:val="single" w:sz="4" w:space="0" w:color="000000"/>
              <w:bottom w:val="single" w:sz="4" w:space="0" w:color="000000"/>
              <w:right w:val="single" w:sz="4" w:space="0" w:color="auto"/>
            </w:tcBorders>
          </w:tcPr>
          <w:p w14:paraId="00F76773" w14:textId="77777777" w:rsidR="00AB3BCE" w:rsidRPr="00E21228" w:rsidRDefault="00E21228" w:rsidP="00AB3BCE">
            <w:pPr>
              <w:spacing w:after="0" w:line="259" w:lineRule="auto"/>
              <w:ind w:left="0" w:right="80" w:firstLine="0"/>
              <w:jc w:val="right"/>
              <w:rPr>
                <w:sz w:val="16"/>
                <w:szCs w:val="16"/>
              </w:rPr>
            </w:pPr>
            <w:r>
              <w:rPr>
                <w:sz w:val="16"/>
                <w:szCs w:val="16"/>
              </w:rPr>
              <w:t>6.050,00</w:t>
            </w:r>
          </w:p>
        </w:tc>
        <w:tc>
          <w:tcPr>
            <w:tcW w:w="1104" w:type="dxa"/>
            <w:tcBorders>
              <w:top w:val="single" w:sz="4" w:space="0" w:color="auto"/>
              <w:left w:val="single" w:sz="4" w:space="0" w:color="auto"/>
              <w:bottom w:val="single" w:sz="4" w:space="0" w:color="auto"/>
              <w:right w:val="single" w:sz="4" w:space="0" w:color="auto"/>
            </w:tcBorders>
          </w:tcPr>
          <w:p w14:paraId="2E4857B5" w14:textId="77777777" w:rsidR="00AB3BCE" w:rsidRPr="00E21228" w:rsidRDefault="00E21228" w:rsidP="00AB3BCE">
            <w:pPr>
              <w:spacing w:after="0" w:line="259" w:lineRule="auto"/>
              <w:ind w:left="0" w:right="79" w:firstLine="0"/>
              <w:jc w:val="right"/>
            </w:pPr>
            <w:r>
              <w:rPr>
                <w:sz w:val="14"/>
              </w:rPr>
              <w:t>3</w:t>
            </w:r>
            <w:r w:rsidR="00AB3BCE" w:rsidRPr="00E21228">
              <w:rPr>
                <w:sz w:val="14"/>
              </w:rPr>
              <w:t xml:space="preserve"> </w:t>
            </w:r>
            <w:r w:rsidR="00AB3BCE" w:rsidRPr="00E21228">
              <w:rPr>
                <w:rFonts w:ascii="Calibri" w:eastAsia="Calibri" w:hAnsi="Calibri" w:cs="Calibri"/>
                <w:sz w:val="14"/>
              </w:rPr>
              <w:t xml:space="preserve"> </w:t>
            </w:r>
          </w:p>
        </w:tc>
      </w:tr>
      <w:tr w:rsidR="00AB3BCE" w14:paraId="278C39FD" w14:textId="77777777" w:rsidTr="00AB3BCE">
        <w:trPr>
          <w:trHeight w:val="295"/>
        </w:trPr>
        <w:tc>
          <w:tcPr>
            <w:tcW w:w="2597" w:type="dxa"/>
            <w:tcBorders>
              <w:top w:val="single" w:sz="4" w:space="0" w:color="000000"/>
              <w:left w:val="single" w:sz="4" w:space="0" w:color="000000"/>
              <w:bottom w:val="single" w:sz="4" w:space="0" w:color="000000"/>
              <w:right w:val="single" w:sz="4" w:space="0" w:color="000000"/>
            </w:tcBorders>
          </w:tcPr>
          <w:p w14:paraId="0D6A6222" w14:textId="77777777" w:rsidR="00AB3BCE" w:rsidRDefault="00AB3BCE" w:rsidP="00AB3BCE">
            <w:pPr>
              <w:spacing w:after="0" w:line="259" w:lineRule="auto"/>
              <w:ind w:left="0" w:right="0" w:firstLine="0"/>
              <w:jc w:val="left"/>
            </w:pPr>
            <w:r>
              <w:rPr>
                <w:sz w:val="14"/>
              </w:rPr>
              <w:t xml:space="preserve">Višak prihoda preth.god. </w:t>
            </w:r>
            <w:r>
              <w:rPr>
                <w:rFonts w:ascii="Calibri" w:eastAsia="Calibri" w:hAnsi="Calibri" w:cs="Calibri"/>
                <w:sz w:val="14"/>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45435C20" w14:textId="77777777" w:rsidR="00AB3BCE" w:rsidRDefault="00AB3BCE" w:rsidP="00AB3BCE">
            <w:pPr>
              <w:spacing w:after="0" w:line="259" w:lineRule="auto"/>
              <w:ind w:left="0" w:right="79" w:firstLine="0"/>
              <w:jc w:val="right"/>
            </w:pPr>
            <w:r>
              <w:rPr>
                <w:sz w:val="14"/>
              </w:rPr>
              <w:t xml:space="preserve">550.571,69 </w:t>
            </w:r>
            <w:r>
              <w:rPr>
                <w:rFonts w:ascii="Calibri" w:eastAsia="Calibri" w:hAnsi="Calibri" w:cs="Calibri"/>
                <w:sz w:val="14"/>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4432086F" w14:textId="77777777" w:rsidR="00AB3BCE" w:rsidRDefault="00AB3BCE" w:rsidP="00AB3BCE">
            <w:pPr>
              <w:spacing w:after="0" w:line="259" w:lineRule="auto"/>
              <w:ind w:left="0" w:right="80" w:firstLine="0"/>
              <w:jc w:val="right"/>
            </w:pPr>
            <w:r>
              <w:rPr>
                <w:sz w:val="14"/>
              </w:rPr>
              <w:t xml:space="preserve">877.885,81 </w:t>
            </w:r>
            <w:r>
              <w:rPr>
                <w:rFonts w:ascii="Calibri" w:eastAsia="Calibri" w:hAnsi="Calibri" w:cs="Calibri"/>
                <w:sz w:val="14"/>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4E7A7386" w14:textId="77777777" w:rsidR="00AB3BCE" w:rsidRPr="00E21228" w:rsidRDefault="00E21228" w:rsidP="00AB3BCE">
            <w:pPr>
              <w:spacing w:after="0" w:line="259" w:lineRule="auto"/>
              <w:ind w:left="0" w:right="82" w:firstLine="0"/>
              <w:jc w:val="right"/>
              <w:rPr>
                <w:sz w:val="16"/>
                <w:szCs w:val="16"/>
              </w:rPr>
            </w:pPr>
            <w:r>
              <w:rPr>
                <w:sz w:val="16"/>
                <w:szCs w:val="16"/>
              </w:rPr>
              <w:t>0,00</w:t>
            </w:r>
          </w:p>
        </w:tc>
        <w:tc>
          <w:tcPr>
            <w:tcW w:w="1595" w:type="dxa"/>
            <w:tcBorders>
              <w:top w:val="single" w:sz="4" w:space="0" w:color="000000"/>
              <w:left w:val="single" w:sz="4" w:space="0" w:color="000000"/>
              <w:bottom w:val="single" w:sz="4" w:space="0" w:color="000000"/>
              <w:right w:val="single" w:sz="4" w:space="0" w:color="auto"/>
            </w:tcBorders>
          </w:tcPr>
          <w:p w14:paraId="4AAEB66B" w14:textId="77777777" w:rsidR="00AB3BCE" w:rsidRPr="00E21228" w:rsidRDefault="00E21228" w:rsidP="00AB3BCE">
            <w:pPr>
              <w:spacing w:after="0" w:line="259" w:lineRule="auto"/>
              <w:ind w:left="0" w:right="80" w:firstLine="0"/>
              <w:jc w:val="right"/>
              <w:rPr>
                <w:sz w:val="16"/>
                <w:szCs w:val="16"/>
              </w:rPr>
            </w:pPr>
            <w:r>
              <w:rPr>
                <w:sz w:val="16"/>
                <w:szCs w:val="16"/>
              </w:rPr>
              <w:t>877.885,81</w:t>
            </w:r>
          </w:p>
        </w:tc>
        <w:tc>
          <w:tcPr>
            <w:tcW w:w="1104" w:type="dxa"/>
            <w:tcBorders>
              <w:top w:val="single" w:sz="4" w:space="0" w:color="auto"/>
              <w:left w:val="single" w:sz="4" w:space="0" w:color="auto"/>
              <w:bottom w:val="single" w:sz="4" w:space="0" w:color="auto"/>
              <w:right w:val="single" w:sz="4" w:space="0" w:color="auto"/>
            </w:tcBorders>
          </w:tcPr>
          <w:p w14:paraId="2B98FF70" w14:textId="77777777" w:rsidR="00AB3BCE" w:rsidRPr="00E21228" w:rsidRDefault="00E21228" w:rsidP="00AB3BCE">
            <w:pPr>
              <w:spacing w:after="0" w:line="259" w:lineRule="auto"/>
              <w:ind w:left="0" w:right="79" w:firstLine="0"/>
              <w:jc w:val="right"/>
            </w:pPr>
            <w:r>
              <w:rPr>
                <w:sz w:val="14"/>
              </w:rPr>
              <w:t>100</w:t>
            </w:r>
            <w:r w:rsidR="00AB3BCE" w:rsidRPr="00E21228">
              <w:rPr>
                <w:rFonts w:ascii="Calibri" w:eastAsia="Calibri" w:hAnsi="Calibri" w:cs="Calibri"/>
                <w:sz w:val="14"/>
              </w:rPr>
              <w:t xml:space="preserve"> </w:t>
            </w:r>
          </w:p>
        </w:tc>
      </w:tr>
      <w:tr w:rsidR="00AB3BCE" w14:paraId="1CF88466" w14:textId="77777777" w:rsidTr="00AB3BCE">
        <w:trPr>
          <w:trHeight w:val="350"/>
        </w:trPr>
        <w:tc>
          <w:tcPr>
            <w:tcW w:w="2597" w:type="dxa"/>
            <w:tcBorders>
              <w:top w:val="single" w:sz="4" w:space="0" w:color="000000"/>
              <w:left w:val="single" w:sz="4" w:space="0" w:color="000000"/>
              <w:bottom w:val="single" w:sz="4" w:space="0" w:color="000000"/>
              <w:right w:val="single" w:sz="4" w:space="0" w:color="000000"/>
            </w:tcBorders>
          </w:tcPr>
          <w:p w14:paraId="499971A1" w14:textId="77777777" w:rsidR="00AB3BCE" w:rsidRDefault="00AB3BCE" w:rsidP="00AB3BCE">
            <w:pPr>
              <w:spacing w:after="0" w:line="259" w:lineRule="auto"/>
              <w:ind w:left="0" w:right="520" w:firstLine="0"/>
              <w:jc w:val="center"/>
            </w:pPr>
            <w:r>
              <w:rPr>
                <w:sz w:val="14"/>
              </w:rPr>
              <w:t xml:space="preserve">Primici od financ. imovine  i zaduženja (8) </w:t>
            </w:r>
            <w:r>
              <w:rPr>
                <w:rFonts w:ascii="Calibri" w:eastAsia="Calibri" w:hAnsi="Calibri" w:cs="Calibri"/>
                <w:sz w:val="14"/>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1EA91BB6" w14:textId="77777777" w:rsidR="00AB3BCE" w:rsidRDefault="00AB3BCE" w:rsidP="00AB3BCE">
            <w:pPr>
              <w:spacing w:after="0" w:line="259" w:lineRule="auto"/>
              <w:ind w:left="0" w:right="79" w:firstLine="0"/>
              <w:jc w:val="right"/>
            </w:pPr>
            <w:r>
              <w:rPr>
                <w:sz w:val="14"/>
              </w:rPr>
              <w:t xml:space="preserve">929.059,66  </w:t>
            </w:r>
          </w:p>
        </w:tc>
        <w:tc>
          <w:tcPr>
            <w:tcW w:w="1424" w:type="dxa"/>
            <w:tcBorders>
              <w:top w:val="single" w:sz="4" w:space="0" w:color="000000"/>
              <w:left w:val="single" w:sz="4" w:space="0" w:color="000000"/>
              <w:bottom w:val="single" w:sz="4" w:space="0" w:color="000000"/>
              <w:right w:val="single" w:sz="4" w:space="0" w:color="000000"/>
            </w:tcBorders>
          </w:tcPr>
          <w:p w14:paraId="5898D002" w14:textId="77777777" w:rsidR="00AB3BCE" w:rsidRDefault="00AB3BCE" w:rsidP="00AB3BCE">
            <w:pPr>
              <w:spacing w:after="0" w:line="259" w:lineRule="auto"/>
              <w:ind w:left="0" w:right="82" w:firstLine="0"/>
              <w:jc w:val="right"/>
            </w:pPr>
            <w:r>
              <w:rPr>
                <w:sz w:val="14"/>
              </w:rPr>
              <w:t xml:space="preserve">0,00 </w:t>
            </w:r>
            <w:r>
              <w:rPr>
                <w:rFonts w:ascii="Calibri" w:eastAsia="Calibri" w:hAnsi="Calibri" w:cs="Calibri"/>
                <w:sz w:val="14"/>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7970D416" w14:textId="77777777" w:rsidR="00AB3BCE" w:rsidRPr="00E21228" w:rsidRDefault="00E21228" w:rsidP="00AB3BCE">
            <w:pPr>
              <w:spacing w:after="0" w:line="259" w:lineRule="auto"/>
              <w:ind w:left="0" w:right="86" w:firstLine="0"/>
              <w:jc w:val="right"/>
              <w:rPr>
                <w:sz w:val="16"/>
                <w:szCs w:val="16"/>
              </w:rPr>
            </w:pPr>
            <w:r>
              <w:rPr>
                <w:sz w:val="16"/>
                <w:szCs w:val="16"/>
              </w:rPr>
              <w:t>0,00</w:t>
            </w:r>
          </w:p>
        </w:tc>
        <w:tc>
          <w:tcPr>
            <w:tcW w:w="1595" w:type="dxa"/>
            <w:tcBorders>
              <w:top w:val="single" w:sz="4" w:space="0" w:color="000000"/>
              <w:left w:val="single" w:sz="4" w:space="0" w:color="000000"/>
              <w:bottom w:val="single" w:sz="4" w:space="0" w:color="000000"/>
              <w:right w:val="single" w:sz="4" w:space="0" w:color="auto"/>
            </w:tcBorders>
          </w:tcPr>
          <w:p w14:paraId="78853764" w14:textId="77777777" w:rsidR="00AB3BCE" w:rsidRPr="00E21228" w:rsidRDefault="00E21228" w:rsidP="00AB3BCE">
            <w:pPr>
              <w:spacing w:after="0" w:line="259" w:lineRule="auto"/>
              <w:ind w:left="0" w:right="82" w:firstLine="0"/>
              <w:jc w:val="right"/>
              <w:rPr>
                <w:sz w:val="16"/>
                <w:szCs w:val="16"/>
              </w:rPr>
            </w:pPr>
            <w:r>
              <w:rPr>
                <w:sz w:val="16"/>
                <w:szCs w:val="16"/>
              </w:rPr>
              <w:t>0,00</w:t>
            </w:r>
          </w:p>
        </w:tc>
        <w:tc>
          <w:tcPr>
            <w:tcW w:w="1104" w:type="dxa"/>
            <w:tcBorders>
              <w:top w:val="single" w:sz="4" w:space="0" w:color="auto"/>
              <w:left w:val="single" w:sz="4" w:space="0" w:color="auto"/>
              <w:bottom w:val="single" w:sz="4" w:space="0" w:color="auto"/>
              <w:right w:val="single" w:sz="4" w:space="0" w:color="auto"/>
            </w:tcBorders>
          </w:tcPr>
          <w:p w14:paraId="29AAEAA5" w14:textId="77777777" w:rsidR="00AB3BCE" w:rsidRPr="00E21228" w:rsidRDefault="00E21228" w:rsidP="00AB3BCE">
            <w:pPr>
              <w:spacing w:after="0" w:line="259" w:lineRule="auto"/>
              <w:ind w:left="0" w:right="76" w:firstLine="0"/>
              <w:jc w:val="right"/>
            </w:pPr>
            <w:r>
              <w:rPr>
                <w:sz w:val="14"/>
              </w:rPr>
              <w:t>10</w:t>
            </w:r>
            <w:r w:rsidR="00AB3BCE" w:rsidRPr="00E21228">
              <w:rPr>
                <w:sz w:val="14"/>
              </w:rPr>
              <w:t xml:space="preserve">0 </w:t>
            </w:r>
            <w:r w:rsidR="00AB3BCE" w:rsidRPr="00E21228">
              <w:rPr>
                <w:rFonts w:ascii="Calibri" w:eastAsia="Calibri" w:hAnsi="Calibri" w:cs="Calibri"/>
                <w:sz w:val="14"/>
              </w:rPr>
              <w:t xml:space="preserve"> </w:t>
            </w:r>
          </w:p>
        </w:tc>
      </w:tr>
      <w:tr w:rsidR="00AB3BCE" w14:paraId="449EE28B" w14:textId="77777777" w:rsidTr="00AB3BCE">
        <w:trPr>
          <w:trHeight w:val="275"/>
        </w:trPr>
        <w:tc>
          <w:tcPr>
            <w:tcW w:w="2597" w:type="dxa"/>
            <w:tcBorders>
              <w:top w:val="single" w:sz="4" w:space="0" w:color="000000"/>
              <w:left w:val="single" w:sz="4" w:space="0" w:color="000000"/>
              <w:bottom w:val="single" w:sz="4" w:space="0" w:color="000000"/>
              <w:right w:val="single" w:sz="4" w:space="0" w:color="000000"/>
            </w:tcBorders>
            <w:shd w:val="clear" w:color="auto" w:fill="D9E2F3"/>
          </w:tcPr>
          <w:p w14:paraId="04FC0956" w14:textId="77777777" w:rsidR="00AB3BCE" w:rsidRDefault="00AB3BCE" w:rsidP="00AB3BCE">
            <w:pPr>
              <w:spacing w:after="0" w:line="259" w:lineRule="auto"/>
              <w:ind w:left="0" w:right="0" w:firstLine="0"/>
              <w:jc w:val="left"/>
            </w:pPr>
            <w:r>
              <w:rPr>
                <w:b/>
                <w:sz w:val="14"/>
              </w:rPr>
              <w:t xml:space="preserve">UKUPNO </w:t>
            </w:r>
            <w:r>
              <w:rPr>
                <w:rFonts w:ascii="Calibri" w:eastAsia="Calibri" w:hAnsi="Calibri" w:cs="Calibri"/>
                <w:sz w:val="14"/>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D9E2F3"/>
          </w:tcPr>
          <w:p w14:paraId="53FED845" w14:textId="77777777" w:rsidR="00AB3BCE" w:rsidRDefault="00AB3BCE" w:rsidP="00AB3BCE">
            <w:pPr>
              <w:spacing w:after="0" w:line="259" w:lineRule="auto"/>
              <w:ind w:left="0" w:right="79" w:firstLine="0"/>
              <w:jc w:val="right"/>
            </w:pPr>
            <w:r>
              <w:rPr>
                <w:b/>
                <w:sz w:val="14"/>
              </w:rPr>
              <w:t xml:space="preserve">6.463.000,00 </w:t>
            </w:r>
            <w:r>
              <w:rPr>
                <w:rFonts w:ascii="Calibri" w:eastAsia="Calibri" w:hAnsi="Calibri" w:cs="Calibri"/>
                <w:sz w:val="14"/>
              </w:rPr>
              <w:t xml:space="preserve"> </w:t>
            </w:r>
          </w:p>
        </w:tc>
        <w:tc>
          <w:tcPr>
            <w:tcW w:w="1424" w:type="dxa"/>
            <w:tcBorders>
              <w:top w:val="single" w:sz="4" w:space="0" w:color="000000"/>
              <w:left w:val="single" w:sz="4" w:space="0" w:color="000000"/>
              <w:bottom w:val="single" w:sz="4" w:space="0" w:color="000000"/>
              <w:right w:val="single" w:sz="4" w:space="0" w:color="000000"/>
            </w:tcBorders>
            <w:shd w:val="clear" w:color="auto" w:fill="D9E2F3"/>
          </w:tcPr>
          <w:p w14:paraId="72BBB976" w14:textId="77777777" w:rsidR="00AB3BCE" w:rsidRDefault="00AB3BCE" w:rsidP="00AB3BCE">
            <w:pPr>
              <w:spacing w:after="0" w:line="259" w:lineRule="auto"/>
              <w:ind w:left="0" w:right="82" w:firstLine="0"/>
              <w:jc w:val="right"/>
            </w:pPr>
            <w:r>
              <w:rPr>
                <w:b/>
                <w:sz w:val="14"/>
              </w:rPr>
              <w:t>6.528.500</w:t>
            </w:r>
            <w:r>
              <w:rPr>
                <w:rFonts w:ascii="Calibri" w:eastAsia="Calibri" w:hAnsi="Calibri" w:cs="Calibri"/>
                <w:sz w:val="14"/>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D9E2F3"/>
          </w:tcPr>
          <w:p w14:paraId="26C6E160" w14:textId="77777777" w:rsidR="00AB3BCE" w:rsidRPr="001A51E0" w:rsidRDefault="001A51E0" w:rsidP="00AB3BCE">
            <w:pPr>
              <w:spacing w:after="0" w:line="259" w:lineRule="auto"/>
              <w:ind w:left="0" w:right="81" w:firstLine="0"/>
              <w:jc w:val="right"/>
              <w:rPr>
                <w:b/>
                <w:bCs/>
                <w:sz w:val="16"/>
                <w:szCs w:val="16"/>
              </w:rPr>
            </w:pPr>
            <w:r w:rsidRPr="001A51E0">
              <w:rPr>
                <w:b/>
                <w:bCs/>
                <w:sz w:val="16"/>
                <w:szCs w:val="16"/>
              </w:rPr>
              <w:t>-556.500,00</w:t>
            </w:r>
          </w:p>
        </w:tc>
        <w:tc>
          <w:tcPr>
            <w:tcW w:w="1595" w:type="dxa"/>
            <w:tcBorders>
              <w:top w:val="single" w:sz="4" w:space="0" w:color="000000"/>
              <w:left w:val="single" w:sz="4" w:space="0" w:color="000000"/>
              <w:bottom w:val="single" w:sz="4" w:space="0" w:color="000000"/>
              <w:right w:val="single" w:sz="4" w:space="0" w:color="auto"/>
            </w:tcBorders>
            <w:shd w:val="clear" w:color="auto" w:fill="D9E2F3"/>
          </w:tcPr>
          <w:p w14:paraId="36C0DCF1" w14:textId="77777777" w:rsidR="00AB3BCE" w:rsidRPr="001A51E0" w:rsidRDefault="00E21228" w:rsidP="00AB3BCE">
            <w:pPr>
              <w:spacing w:after="0" w:line="259" w:lineRule="auto"/>
              <w:ind w:left="0" w:right="82" w:firstLine="0"/>
              <w:jc w:val="right"/>
              <w:rPr>
                <w:b/>
                <w:bCs/>
                <w:sz w:val="16"/>
                <w:szCs w:val="16"/>
              </w:rPr>
            </w:pPr>
            <w:r w:rsidRPr="001A51E0">
              <w:rPr>
                <w:b/>
                <w:bCs/>
                <w:sz w:val="16"/>
                <w:szCs w:val="16"/>
              </w:rPr>
              <w:t>5.972.000,00</w:t>
            </w:r>
          </w:p>
        </w:tc>
        <w:tc>
          <w:tcPr>
            <w:tcW w:w="1104" w:type="dxa"/>
            <w:tcBorders>
              <w:top w:val="single" w:sz="4" w:space="0" w:color="auto"/>
              <w:left w:val="single" w:sz="4" w:space="0" w:color="auto"/>
              <w:bottom w:val="single" w:sz="4" w:space="0" w:color="auto"/>
              <w:right w:val="single" w:sz="4" w:space="0" w:color="auto"/>
            </w:tcBorders>
            <w:shd w:val="clear" w:color="auto" w:fill="D9E2F3"/>
          </w:tcPr>
          <w:p w14:paraId="1FE8E4D1" w14:textId="77777777" w:rsidR="00AB3BCE" w:rsidRPr="00E21228" w:rsidRDefault="00E21228" w:rsidP="00AB3BCE">
            <w:pPr>
              <w:spacing w:after="0" w:line="259" w:lineRule="auto"/>
              <w:ind w:left="0" w:right="79" w:firstLine="0"/>
              <w:jc w:val="right"/>
            </w:pPr>
            <w:r>
              <w:rPr>
                <w:b/>
                <w:sz w:val="14"/>
              </w:rPr>
              <w:t>91</w:t>
            </w:r>
          </w:p>
        </w:tc>
      </w:tr>
    </w:tbl>
    <w:p w14:paraId="1E65C650" w14:textId="77777777" w:rsidR="00D26CC9" w:rsidRDefault="00000000">
      <w:pPr>
        <w:spacing w:after="143" w:line="259" w:lineRule="auto"/>
        <w:ind w:left="0" w:right="0" w:firstLine="0"/>
        <w:jc w:val="left"/>
      </w:pPr>
      <w:r>
        <w:rPr>
          <w:b/>
          <w:color w:val="C00000"/>
        </w:rPr>
        <w:t xml:space="preserve"> </w:t>
      </w:r>
    </w:p>
    <w:p w14:paraId="4175C068" w14:textId="77777777" w:rsidR="00D26CC9" w:rsidRDefault="00000000">
      <w:pPr>
        <w:spacing w:after="0" w:line="261" w:lineRule="auto"/>
        <w:ind w:left="-5" w:right="0"/>
      </w:pPr>
      <w:r>
        <w:rPr>
          <w:b/>
        </w:rPr>
        <w:t xml:space="preserve">Grafikon 1.  </w:t>
      </w:r>
      <w:r>
        <w:rPr>
          <w:rFonts w:ascii="Calibri" w:eastAsia="Calibri" w:hAnsi="Calibri" w:cs="Calibri"/>
        </w:rPr>
        <w:t xml:space="preserve"> </w:t>
      </w:r>
    </w:p>
    <w:p w14:paraId="5D632B59" w14:textId="77777777" w:rsidR="00D26CC9" w:rsidRDefault="00556822">
      <w:pPr>
        <w:spacing w:after="207" w:line="259" w:lineRule="auto"/>
        <w:ind w:left="1734" w:right="0" w:firstLine="0"/>
        <w:jc w:val="left"/>
      </w:pPr>
      <w:r>
        <w:rPr>
          <w:noProof/>
        </w:rPr>
        <w:drawing>
          <wp:inline distT="0" distB="0" distL="0" distR="0" wp14:anchorId="33A6209E" wp14:editId="073E188E">
            <wp:extent cx="4442460" cy="2346960"/>
            <wp:effectExtent l="0" t="0" r="15240" b="15240"/>
            <wp:docPr id="1325415612" name="Grafikon 1">
              <a:extLst xmlns:a="http://schemas.openxmlformats.org/drawingml/2006/main">
                <a:ext uri="{FF2B5EF4-FFF2-40B4-BE49-F238E27FC236}">
                  <a16:creationId xmlns:a16="http://schemas.microsoft.com/office/drawing/2014/main" id="{1D334EF3-6DF8-74FD-970B-5DAC71520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82DFCE" w14:textId="77777777" w:rsidR="00D26CC9" w:rsidRDefault="00000000">
      <w:pPr>
        <w:ind w:left="5" w:right="0"/>
      </w:pPr>
      <w:r>
        <w:t xml:space="preserve">Izvor: Proračun Općine Jelenje </w:t>
      </w:r>
      <w:r>
        <w:rPr>
          <w:rFonts w:ascii="Calibri" w:eastAsia="Calibri" w:hAnsi="Calibri" w:cs="Calibri"/>
        </w:rPr>
        <w:t xml:space="preserve"> </w:t>
      </w:r>
    </w:p>
    <w:p w14:paraId="77D0BFF1" w14:textId="77777777" w:rsidR="00D26CC9" w:rsidRDefault="00D127EF">
      <w:pPr>
        <w:ind w:left="5" w:right="0"/>
      </w:pPr>
      <w:r>
        <w:t>Drugim izmjenama i dopunama</w:t>
      </w:r>
      <w:r>
        <w:rPr>
          <w:b/>
        </w:rPr>
        <w:t xml:space="preserve"> </w:t>
      </w:r>
      <w:r>
        <w:t>Proračuna Općine Jelenje</w:t>
      </w:r>
      <w:r>
        <w:rPr>
          <w:b/>
        </w:rPr>
        <w:t xml:space="preserve"> </w:t>
      </w:r>
      <w:r w:rsidRPr="00D127EF">
        <w:rPr>
          <w:bCs/>
        </w:rPr>
        <w:t>smanjujemo</w:t>
      </w:r>
      <w:r>
        <w:rPr>
          <w:b/>
        </w:rPr>
        <w:t xml:space="preserve"> Prihode poslovanja </w:t>
      </w:r>
      <w:r>
        <w:t>za 6,8% a</w:t>
      </w:r>
      <w:r>
        <w:rPr>
          <w:b/>
        </w:rPr>
        <w:t xml:space="preserve"> Prihodi od prodaje nefinancijske imovine </w:t>
      </w:r>
      <w:r>
        <w:rPr>
          <w:bCs/>
        </w:rPr>
        <w:t xml:space="preserve">za 96,8%. </w:t>
      </w:r>
    </w:p>
    <w:p w14:paraId="1E608626" w14:textId="77777777" w:rsidR="00D26CC9" w:rsidRDefault="00000000">
      <w:pPr>
        <w:spacing w:after="197"/>
        <w:ind w:left="5" w:right="0"/>
      </w:pPr>
      <w:r>
        <w:t xml:space="preserve">Unutar skupine </w:t>
      </w:r>
      <w:r>
        <w:rPr>
          <w:b/>
        </w:rPr>
        <w:t xml:space="preserve">Prihodi poslovanja </w:t>
      </w:r>
      <w:r>
        <w:t xml:space="preserve">dolazi </w:t>
      </w:r>
      <w:r w:rsidR="00D127EF">
        <w:t xml:space="preserve">samo </w:t>
      </w:r>
      <w:r>
        <w:t>do povećanja</w:t>
      </w:r>
      <w:r w:rsidR="00D127EF">
        <w:t xml:space="preserve"> kod</w:t>
      </w:r>
      <w:r>
        <w:t xml:space="preserve">: </w:t>
      </w:r>
      <w:r>
        <w:rPr>
          <w:rFonts w:ascii="Calibri" w:eastAsia="Calibri" w:hAnsi="Calibri" w:cs="Calibri"/>
        </w:rPr>
        <w:t xml:space="preserve"> </w:t>
      </w:r>
    </w:p>
    <w:p w14:paraId="7807348C" w14:textId="77777777" w:rsidR="00D127EF" w:rsidRPr="00D127EF" w:rsidRDefault="00D127EF" w:rsidP="00D127EF">
      <w:pPr>
        <w:numPr>
          <w:ilvl w:val="0"/>
          <w:numId w:val="3"/>
        </w:numPr>
        <w:ind w:right="0" w:hanging="329"/>
      </w:pPr>
      <w:r>
        <w:rPr>
          <w:b/>
        </w:rPr>
        <w:t>Prihodi od upravnih i administrativnih pristojbi</w:t>
      </w:r>
      <w:r>
        <w:t xml:space="preserve"> </w:t>
      </w:r>
      <w:r>
        <w:rPr>
          <w:b/>
        </w:rPr>
        <w:t>(65)</w:t>
      </w:r>
      <w:r>
        <w:t xml:space="preserve"> za </w:t>
      </w:r>
      <w:r w:rsidR="00AB0DB0">
        <w:t>2</w:t>
      </w:r>
      <w:r>
        <w:t>,</w:t>
      </w:r>
      <w:r w:rsidR="00AB0DB0">
        <w:t>5</w:t>
      </w:r>
      <w:r>
        <w:t xml:space="preserve">% </w:t>
      </w:r>
      <w:r w:rsidR="00AB0DB0">
        <w:t>kod županijskih, gradskih i općinskih pristojba i naknada na ime Grobne naknade nomin</w:t>
      </w:r>
      <w:r>
        <w:t>alno za 5.000,00 eura</w:t>
      </w:r>
      <w:r w:rsidR="00AB0DB0">
        <w:t xml:space="preserve"> zbog bolje naplate potraživanja.</w:t>
      </w:r>
    </w:p>
    <w:p w14:paraId="4777C968" w14:textId="77777777" w:rsidR="00D127EF" w:rsidRPr="00D127EF" w:rsidRDefault="00D127EF" w:rsidP="00D127EF">
      <w:pPr>
        <w:ind w:left="0" w:right="0" w:firstLine="0"/>
        <w:rPr>
          <w:bCs/>
        </w:rPr>
      </w:pPr>
      <w:r w:rsidRPr="00D127EF">
        <w:rPr>
          <w:bCs/>
        </w:rPr>
        <w:t>Do smanjenja dolazi kod:</w:t>
      </w:r>
    </w:p>
    <w:p w14:paraId="59768002" w14:textId="77777777" w:rsidR="00D26CC9" w:rsidRDefault="00000000">
      <w:pPr>
        <w:numPr>
          <w:ilvl w:val="0"/>
          <w:numId w:val="3"/>
        </w:numPr>
        <w:spacing w:after="194"/>
        <w:ind w:right="0" w:hanging="329"/>
      </w:pPr>
      <w:r>
        <w:rPr>
          <w:b/>
        </w:rPr>
        <w:t xml:space="preserve">Prihoda od poreza na dohodak (61) </w:t>
      </w:r>
      <w:r>
        <w:t xml:space="preserve">za </w:t>
      </w:r>
      <w:r w:rsidR="00AB0DB0">
        <w:t>2,5</w:t>
      </w:r>
      <w:r>
        <w:t>%</w:t>
      </w:r>
      <w:r>
        <w:rPr>
          <w:b/>
        </w:rPr>
        <w:t xml:space="preserve"> </w:t>
      </w:r>
      <w:r w:rsidR="00AB0DB0" w:rsidRPr="00AB0DB0">
        <w:rPr>
          <w:bCs/>
        </w:rPr>
        <w:t xml:space="preserve">zbog povećanog </w:t>
      </w:r>
      <w:r w:rsidR="00AB0DB0">
        <w:rPr>
          <w:bCs/>
        </w:rPr>
        <w:t>povrata p</w:t>
      </w:r>
      <w:r w:rsidR="00AB0DB0" w:rsidRPr="00AB0DB0">
        <w:rPr>
          <w:bCs/>
        </w:rPr>
        <w:t xml:space="preserve">oreza i prireza </w:t>
      </w:r>
      <w:r w:rsidR="00AB0DB0">
        <w:rPr>
          <w:bCs/>
        </w:rPr>
        <w:t xml:space="preserve">na dohodak </w:t>
      </w:r>
      <w:r w:rsidR="00AB0DB0" w:rsidRPr="00AB0DB0">
        <w:rPr>
          <w:bCs/>
        </w:rPr>
        <w:t>po godišnjoj prijavi</w:t>
      </w:r>
      <w:r w:rsidR="00AB0DB0">
        <w:rPr>
          <w:bCs/>
        </w:rPr>
        <w:t xml:space="preserve"> u iznosu od 76.000,00 eura, smanjenju prihoda od poreza i prireza na dohodak po godišnjoj prijavi u visini od 50.000,00 eura, te Poreza i prireza na dohotka od kapitala u iznosu od 10.000,00 eura, unatoč povećanim Porezima i prirezima na dohodak od </w:t>
      </w:r>
      <w:r w:rsidR="00AB0DB0">
        <w:rPr>
          <w:bCs/>
        </w:rPr>
        <w:lastRenderedPageBreak/>
        <w:t xml:space="preserve">samostalnog i nesamostalnog rada, sveukupno </w:t>
      </w:r>
      <w:r w:rsidR="002A2077">
        <w:rPr>
          <w:bCs/>
        </w:rPr>
        <w:t>79</w:t>
      </w:r>
      <w:r w:rsidR="00AB0DB0">
        <w:rPr>
          <w:bCs/>
        </w:rPr>
        <w:t>.</w:t>
      </w:r>
      <w:r w:rsidR="002A2077">
        <w:rPr>
          <w:bCs/>
        </w:rPr>
        <w:t>000</w:t>
      </w:r>
      <w:r w:rsidR="00AB0DB0">
        <w:rPr>
          <w:bCs/>
        </w:rPr>
        <w:t>,00 eura</w:t>
      </w:r>
      <w:r w:rsidR="005D5146">
        <w:rPr>
          <w:bCs/>
        </w:rPr>
        <w:t xml:space="preserve">, te </w:t>
      </w:r>
      <w:r>
        <w:t xml:space="preserve">Porezi </w:t>
      </w:r>
      <w:r w:rsidR="005D5146">
        <w:t xml:space="preserve">i prireza </w:t>
      </w:r>
      <w:r>
        <w:t xml:space="preserve">na dohodak </w:t>
      </w:r>
      <w:r w:rsidR="005D5146">
        <w:t xml:space="preserve">od imovine i imovinskih prava </w:t>
      </w:r>
      <w:r>
        <w:t xml:space="preserve">u iznosu od </w:t>
      </w:r>
      <w:r w:rsidR="005D5146">
        <w:t>9</w:t>
      </w:r>
      <w:r>
        <w:t>.</w:t>
      </w:r>
      <w:r w:rsidR="005D5146">
        <w:t>165</w:t>
      </w:r>
      <w:r>
        <w:t>,</w:t>
      </w:r>
      <w:r w:rsidR="005D5146">
        <w:t>00</w:t>
      </w:r>
      <w:r>
        <w:t xml:space="preserve"> eura što je </w:t>
      </w:r>
      <w:r w:rsidR="005D5146">
        <w:t>smanjenje</w:t>
      </w:r>
      <w:r w:rsidR="00113A8E">
        <w:t xml:space="preserve"> Prihoda od poreza</w:t>
      </w:r>
      <w:r>
        <w:t xml:space="preserve"> u odnosu na dosadašnji plan za 70.</w:t>
      </w:r>
      <w:r w:rsidR="005D5146">
        <w:t>097</w:t>
      </w:r>
      <w:r>
        <w:t xml:space="preserve">,81 eura. </w:t>
      </w:r>
      <w:r w:rsidR="005D5146">
        <w:t xml:space="preserve">Smanjenje je rezultiralo vjerojatno </w:t>
      </w:r>
      <w:r w:rsidR="00113A8E">
        <w:t xml:space="preserve">i </w:t>
      </w:r>
      <w:r w:rsidR="005D5146">
        <w:t xml:space="preserve">boljom strukturom zaposlenika mlađe populacije uz sve prisutan porast plaća od nesamostalnog i samostalnog rada te iznajmljivanja stanova, soba i postelja putnicima i turistima, </w:t>
      </w:r>
      <w:r w:rsidR="001954FF">
        <w:t>najamnina i zakupnina, te otuđenja nekretnina (prodaja, zamjena, te drugi prijenos nekretnina) i imovinskih prava</w:t>
      </w:r>
      <w:r w:rsidR="00113A8E">
        <w:t>..</w:t>
      </w:r>
      <w:r w:rsidR="005D5146">
        <w:t xml:space="preserve">. </w:t>
      </w:r>
      <w:r w:rsidR="00113A8E">
        <w:t>Porezi na imovinu smanjuju se za 14</w:t>
      </w:r>
      <w:r w:rsidR="00BE31F6">
        <w:t>,0</w:t>
      </w:r>
      <w:r w:rsidR="00113A8E">
        <w:t>% na ime smanjenja povremenih poreza (porez na promet nekretnina</w:t>
      </w:r>
      <w:r w:rsidR="00BE31F6">
        <w:t xml:space="preserve"> </w:t>
      </w:r>
      <w:r w:rsidR="00113A8E">
        <w:t>1</w:t>
      </w:r>
      <w:r w:rsidR="009862A4">
        <w:t>6,</w:t>
      </w:r>
      <w:r w:rsidR="00113A8E">
        <w:t>7%</w:t>
      </w:r>
      <w:r w:rsidR="00BE31F6">
        <w:t>)</w:t>
      </w:r>
      <w:r w:rsidR="00113A8E">
        <w:t xml:space="preserve"> unatoč višestrukom povećanju Stalnih poreza na nepokretnu imovinu (porez na kuće za odmor) nominalno za 4.900,00 eura</w:t>
      </w:r>
      <w:r w:rsidR="0099223E">
        <w:t xml:space="preserve"> te poreza na promet (23</w:t>
      </w:r>
      <w:r w:rsidR="009862A4">
        <w:t>,1</w:t>
      </w:r>
      <w:r w:rsidR="0099223E">
        <w:t>%).</w:t>
      </w:r>
    </w:p>
    <w:p w14:paraId="3219B5C7" w14:textId="77777777" w:rsidR="00D26CC9" w:rsidRDefault="00000000">
      <w:pPr>
        <w:numPr>
          <w:ilvl w:val="0"/>
          <w:numId w:val="3"/>
        </w:numPr>
        <w:spacing w:after="0" w:line="261" w:lineRule="auto"/>
        <w:ind w:right="0" w:hanging="329"/>
      </w:pPr>
      <w:r>
        <w:rPr>
          <w:b/>
        </w:rPr>
        <w:t>Pomoći iz inozemstva i od subjekata unutar općeg proračuna (63)</w:t>
      </w:r>
      <w:r>
        <w:t xml:space="preserve"> za </w:t>
      </w:r>
      <w:r w:rsidR="00113A8E">
        <w:t>1</w:t>
      </w:r>
      <w:r w:rsidR="00BE31F6">
        <w:t>6,6</w:t>
      </w:r>
      <w:r>
        <w:t xml:space="preserve">% odnosno </w:t>
      </w:r>
    </w:p>
    <w:p w14:paraId="1F5F6019" w14:textId="77777777" w:rsidR="00D26CC9" w:rsidRDefault="00DE3684">
      <w:pPr>
        <w:spacing w:after="160"/>
        <w:ind w:left="5" w:right="0"/>
      </w:pPr>
      <w:r>
        <w:t xml:space="preserve">     </w:t>
      </w:r>
      <w:r w:rsidR="00113A8E">
        <w:t>292</w:t>
      </w:r>
      <w:r>
        <w:t>.</w:t>
      </w:r>
      <w:r w:rsidR="00113A8E">
        <w:t>244</w:t>
      </w:r>
      <w:r>
        <w:t>,</w:t>
      </w:r>
      <w:r w:rsidR="00113A8E">
        <w:t>3</w:t>
      </w:r>
      <w:r>
        <w:t xml:space="preserve">8 eura i to: </w:t>
      </w:r>
      <w:r>
        <w:rPr>
          <w:rFonts w:ascii="Calibri" w:eastAsia="Calibri" w:hAnsi="Calibri" w:cs="Calibri"/>
        </w:rPr>
        <w:t xml:space="preserve"> </w:t>
      </w:r>
    </w:p>
    <w:p w14:paraId="28F65987" w14:textId="77777777" w:rsidR="0099223E" w:rsidRDefault="0099223E" w:rsidP="00592D97">
      <w:pPr>
        <w:numPr>
          <w:ilvl w:val="0"/>
          <w:numId w:val="4"/>
        </w:numPr>
        <w:spacing w:after="38"/>
        <w:ind w:right="0"/>
      </w:pPr>
      <w:r w:rsidRPr="00124947">
        <w:rPr>
          <w:b/>
        </w:rPr>
        <w:t xml:space="preserve">Tekuće pomoći proračunu iz drugih proračuna </w:t>
      </w:r>
      <w:r w:rsidRPr="00124947">
        <w:rPr>
          <w:bCs/>
        </w:rPr>
        <w:t>povećavaju</w:t>
      </w:r>
      <w:r>
        <w:t xml:space="preserve"> se za 7.000,00 eura unatoč smanjen</w:t>
      </w:r>
      <w:r w:rsidR="00124947">
        <w:t xml:space="preserve">oj dodjeli pomoći na ime poticaja za dobrovoljno funkcionalno odnosno stvarno spajanje jedinica lokalne samouprave za KD „Autotrolej“ u iznosu od 13.000,00 eura ali povećanoj pomoći </w:t>
      </w:r>
      <w:r w:rsidR="00124947" w:rsidRPr="00C82B30">
        <w:t xml:space="preserve">za fiskalnu održivost dječjih </w:t>
      </w:r>
      <w:r w:rsidR="00124947">
        <w:t>u iznosu od 20.000,00 eura.</w:t>
      </w:r>
    </w:p>
    <w:p w14:paraId="0DD55D99" w14:textId="2C05170D" w:rsidR="00D26CC9" w:rsidRPr="001D2EBB" w:rsidRDefault="0098417C" w:rsidP="0098417C">
      <w:pPr>
        <w:spacing w:after="38"/>
        <w:ind w:right="0" w:firstLine="0"/>
        <w:rPr>
          <w:highlight w:val="yellow"/>
        </w:rPr>
      </w:pPr>
      <w:r>
        <w:rPr>
          <w:b/>
          <w:bCs/>
        </w:rPr>
        <w:t xml:space="preserve">-           </w:t>
      </w:r>
      <w:r w:rsidR="00000000" w:rsidRPr="00124947">
        <w:rPr>
          <w:b/>
          <w:bCs/>
        </w:rPr>
        <w:t>Kapitalne pomoći</w:t>
      </w:r>
      <w:r w:rsidR="00124947">
        <w:t xml:space="preserve"> </w:t>
      </w:r>
      <w:r w:rsidR="00124947" w:rsidRPr="00124947">
        <w:rPr>
          <w:b/>
          <w:bCs/>
        </w:rPr>
        <w:t xml:space="preserve">proračunu </w:t>
      </w:r>
      <w:r w:rsidR="00000000" w:rsidRPr="00124947">
        <w:rPr>
          <w:b/>
          <w:bCs/>
        </w:rPr>
        <w:t>iz drugih proračuna</w:t>
      </w:r>
      <w:r w:rsidR="00000000">
        <w:t xml:space="preserve"> smanjuju se za</w:t>
      </w:r>
      <w:r w:rsidR="00124947">
        <w:t xml:space="preserve"> 4</w:t>
      </w:r>
      <w:r w:rsidR="009862A4">
        <w:t>5,5</w:t>
      </w:r>
      <w:r w:rsidR="00124947">
        <w:t xml:space="preserve">% </w:t>
      </w:r>
      <w:r w:rsidR="008B3C8A">
        <w:t xml:space="preserve">ili 205.000,00 eura </w:t>
      </w:r>
      <w:r w:rsidR="00124947">
        <w:t>ponajviše</w:t>
      </w:r>
      <w:r w:rsidR="008B3C8A">
        <w:t xml:space="preserve"> uslijed sporijeg administrativnog rješavanja potrebnih dozvola za realizaciju planiranih projekata</w:t>
      </w:r>
      <w:r w:rsidR="0081774E">
        <w:t xml:space="preserve"> (Projekt rekonstrukcije i prenamjene objekta stare škole u Trnovici u stambeni objekt</w:t>
      </w:r>
      <w:r>
        <w:t xml:space="preserve">, </w:t>
      </w:r>
      <w:r w:rsidR="001D2EBB" w:rsidRPr="0098417C">
        <w:t>Prenamjena poslovne zgrade u Podhumu</w:t>
      </w:r>
      <w:r w:rsidRPr="0098417C">
        <w:t xml:space="preserve">, </w:t>
      </w:r>
      <w:r>
        <w:t>IT</w:t>
      </w:r>
      <w:r w:rsidRPr="0098417C">
        <w:t xml:space="preserve"> tehnologije, sektorska strategija, uređenje doma kulture</w:t>
      </w:r>
      <w:r w:rsidR="0081774E" w:rsidRPr="0098417C">
        <w:t>)</w:t>
      </w:r>
      <w:r>
        <w:t>, dok se još uvijek čeka rezultat prijave na javni poziv za neke od planiranih projekata (transformacija prostornih planova i sl) uslijed čega će planirani priljev biti prebačen u iduću proračunsku godinu.</w:t>
      </w:r>
    </w:p>
    <w:p w14:paraId="4D7469FB" w14:textId="1680AA42" w:rsidR="00D26CC9" w:rsidRPr="0098417C" w:rsidRDefault="001D2EBB" w:rsidP="001D2EBB">
      <w:pPr>
        <w:ind w:right="0" w:firstLine="0"/>
      </w:pPr>
      <w:r w:rsidRPr="001D2EBB">
        <w:rPr>
          <w:b/>
        </w:rPr>
        <w:t>-</w:t>
      </w:r>
      <w:r>
        <w:rPr>
          <w:b/>
        </w:rPr>
        <w:t xml:space="preserve">           </w:t>
      </w:r>
      <w:r w:rsidR="00AE48AD" w:rsidRPr="001D2EBB">
        <w:rPr>
          <w:b/>
        </w:rPr>
        <w:t>Pomoći temeljem prijenosa EU sredstava</w:t>
      </w:r>
      <w:r w:rsidR="00AE48AD">
        <w:t xml:space="preserve"> se smanjuju za 94 tisuće eura i to tekuće pomoći temeljem prijenosa EU sredstava kod Projekta Z</w:t>
      </w:r>
      <w:r w:rsidR="00E049D0">
        <w:t>ajedno u zlatnim godinama</w:t>
      </w:r>
      <w:r w:rsidR="00AE48AD">
        <w:t xml:space="preserve"> – prevencija institucionalizacije u iznosu od 30 tisuća eura zbog pomaknutog početka projekta te kapitalne pomoći za dodatnih 64 tisuće eura </w:t>
      </w:r>
      <w:r w:rsidR="008B3C8A">
        <w:t>uslijed prekida izvođenja radova na dogradnji DV Grobnički tić</w:t>
      </w:r>
      <w:r w:rsidR="0098417C">
        <w:t>i, odnosno uslijed pomicanja rokova za provedbu poziva u sklopu ITU (</w:t>
      </w:r>
      <w:r w:rsidRPr="0098417C">
        <w:t>Projekt „I dalje zajedno 65+“</w:t>
      </w:r>
      <w:r w:rsidR="0098417C">
        <w:t>)</w:t>
      </w:r>
      <w:r w:rsidRPr="0098417C">
        <w:t>,</w:t>
      </w:r>
      <w:r w:rsidR="0098417C">
        <w:t xml:space="preserve"> </w:t>
      </w:r>
      <w:r w:rsidRPr="0098417C">
        <w:t>Haklanje na jedan koš</w:t>
      </w:r>
      <w:r w:rsidR="0098417C">
        <w:t xml:space="preserve"> koji je prijavljen na poziv za sufinanciranje Ministarstvu sporta te se rezultati prijave tek očekuju, S</w:t>
      </w:r>
      <w:r w:rsidRPr="0098417C">
        <w:t>olarni paneli</w:t>
      </w:r>
      <w:r w:rsidR="0098417C">
        <w:t xml:space="preserve"> na javnim zgradama za čije financiranje se ipak natječaj u tekućoj godini nije objavio te</w:t>
      </w:r>
      <w:r w:rsidRPr="0098417C">
        <w:t xml:space="preserve"> </w:t>
      </w:r>
      <w:r w:rsidR="0098417C">
        <w:t>Uređenje drvarnice i okoliša Planinarskog doma Hahlić koji nisu prošli na natječaju za financiranje.</w:t>
      </w:r>
    </w:p>
    <w:p w14:paraId="0612B341" w14:textId="77777777" w:rsidR="0085312F" w:rsidRDefault="00DE3684" w:rsidP="00AE48AD">
      <w:pPr>
        <w:spacing w:after="194"/>
        <w:ind w:right="0" w:firstLine="0"/>
      </w:pPr>
      <w:r>
        <w:rPr>
          <w:b/>
        </w:rPr>
        <w:t>Prihod</w:t>
      </w:r>
      <w:r w:rsidR="00AE48AD">
        <w:rPr>
          <w:b/>
        </w:rPr>
        <w:t>i</w:t>
      </w:r>
      <w:r>
        <w:rPr>
          <w:b/>
        </w:rPr>
        <w:t xml:space="preserve"> od imovine</w:t>
      </w:r>
      <w:r>
        <w:t xml:space="preserve"> </w:t>
      </w:r>
      <w:r>
        <w:rPr>
          <w:b/>
        </w:rPr>
        <w:t>(64)</w:t>
      </w:r>
      <w:r>
        <w:t xml:space="preserve"> </w:t>
      </w:r>
      <w:r w:rsidR="00AE48AD">
        <w:t xml:space="preserve">smanjuju se </w:t>
      </w:r>
      <w:r>
        <w:t xml:space="preserve">za </w:t>
      </w:r>
      <w:r w:rsidR="00AE48AD">
        <w:t>8</w:t>
      </w:r>
      <w:r>
        <w:t>,</w:t>
      </w:r>
      <w:r w:rsidR="00AE48AD">
        <w:t>3</w:t>
      </w:r>
      <w:r>
        <w:t xml:space="preserve">% na ime </w:t>
      </w:r>
      <w:r w:rsidR="00AE48AD">
        <w:t>Prihoda od nefinancijske imovine ponajviše zbog planiranog pada Prihoda od zakupa i iznajmljivanja imovine zbog nepopunjenog prostora kroz cijelu godinu</w:t>
      </w:r>
      <w:r w:rsidR="00A11E78">
        <w:t>. Ostali prihodi – Naknade za koncesiju su povećane zbog naplate duga iz prethodne godine, Naknade za ceste zbog pristigle naplate po Ugovoru za posljednji kvartal prethodne godine. Prihodi od financijske imovine znatno rastu (5</w:t>
      </w:r>
      <w:r w:rsidR="00630D0F">
        <w:t>0,7</w:t>
      </w:r>
      <w:r w:rsidR="00A11E78">
        <w:t xml:space="preserve">% nominalno za tisuću eura) na ime prihoda od zateznih kamata po provedenim ovrhama.  </w:t>
      </w:r>
    </w:p>
    <w:p w14:paraId="16737BC3" w14:textId="77777777" w:rsidR="00A11E78" w:rsidRDefault="00A11E78" w:rsidP="00AE48AD">
      <w:pPr>
        <w:spacing w:after="194"/>
        <w:ind w:right="0" w:firstLine="0"/>
      </w:pPr>
      <w:r>
        <w:rPr>
          <w:b/>
        </w:rPr>
        <w:t xml:space="preserve">Prihodi od upravnih i administrativnih pristojbi, pristojbi po posebnim propisima i naknada </w:t>
      </w:r>
      <w:r>
        <w:t xml:space="preserve"> </w:t>
      </w:r>
      <w:r>
        <w:rPr>
          <w:b/>
        </w:rPr>
        <w:t>(6</w:t>
      </w:r>
      <w:r w:rsidR="00825A5A">
        <w:rPr>
          <w:b/>
        </w:rPr>
        <w:t>5</w:t>
      </w:r>
      <w:r>
        <w:rPr>
          <w:b/>
        </w:rPr>
        <w:t>)</w:t>
      </w:r>
      <w:r>
        <w:t xml:space="preserve"> </w:t>
      </w:r>
      <w:r w:rsidR="00825A5A">
        <w:t>povećavaju se za 2</w:t>
      </w:r>
      <w:r>
        <w:t>,</w:t>
      </w:r>
      <w:r w:rsidR="00825A5A">
        <w:t>5</w:t>
      </w:r>
      <w:r>
        <w:t xml:space="preserve">% </w:t>
      </w:r>
      <w:r w:rsidR="00825A5A">
        <w:t xml:space="preserve">zbog bolje naplate grobne </w:t>
      </w:r>
      <w:r>
        <w:t>na</w:t>
      </w:r>
      <w:r w:rsidR="00825A5A">
        <w:t>knade.</w:t>
      </w:r>
    </w:p>
    <w:p w14:paraId="5DCA1693" w14:textId="77777777" w:rsidR="00825A5A" w:rsidRDefault="00000000">
      <w:pPr>
        <w:spacing w:after="133" w:line="261" w:lineRule="auto"/>
        <w:ind w:left="-5" w:right="0"/>
        <w:rPr>
          <w:b/>
        </w:rPr>
      </w:pPr>
      <w:r>
        <w:t xml:space="preserve">Na razini planiranih od Prihoda poslovanja ostaju </w:t>
      </w:r>
      <w:r>
        <w:rPr>
          <w:b/>
        </w:rPr>
        <w:t>Prihodi o prodaje proizvoda i robe te pruženih usluga i prihodi od donacija (66), Ostali prihodi (68)</w:t>
      </w:r>
      <w:r w:rsidR="00825A5A">
        <w:rPr>
          <w:b/>
        </w:rPr>
        <w:t xml:space="preserve">. </w:t>
      </w:r>
    </w:p>
    <w:p w14:paraId="2CD0E5FD" w14:textId="77777777" w:rsidR="00D26CC9" w:rsidRPr="00825A5A" w:rsidRDefault="00000000">
      <w:pPr>
        <w:spacing w:after="133" w:line="261" w:lineRule="auto"/>
        <w:ind w:left="-5" w:right="0"/>
        <w:rPr>
          <w:bCs/>
        </w:rPr>
      </w:pPr>
      <w:r>
        <w:rPr>
          <w:b/>
        </w:rPr>
        <w:t xml:space="preserve">Prihodi od prodaje nefinancijske imovine (7) </w:t>
      </w:r>
      <w:r w:rsidR="00825A5A">
        <w:rPr>
          <w:bCs/>
        </w:rPr>
        <w:t>smanjuju se 9</w:t>
      </w:r>
      <w:r w:rsidR="00630D0F">
        <w:rPr>
          <w:bCs/>
        </w:rPr>
        <w:t>6,8</w:t>
      </w:r>
      <w:r w:rsidR="00825A5A">
        <w:rPr>
          <w:bCs/>
        </w:rPr>
        <w:t xml:space="preserve">% jer je izgledno da se do konca godine neće izvršiti planirana </w:t>
      </w:r>
      <w:r w:rsidR="008D0D9E">
        <w:t>prodaja zemljišta</w:t>
      </w:r>
      <w:r w:rsidR="005033AF">
        <w:t xml:space="preserve"> zbog neriješenih imovinsko-pravnih odnosa</w:t>
      </w:r>
      <w:r w:rsidR="008D0D9E">
        <w:t>, kuće u Jelenju</w:t>
      </w:r>
      <w:r w:rsidR="005033AF">
        <w:t xml:space="preserve"> zbog pokretanja sudskog spora</w:t>
      </w:r>
      <w:r w:rsidR="008D0D9E">
        <w:t xml:space="preserve">, ugostiteljske kućice zbog </w:t>
      </w:r>
      <w:r w:rsidR="005033AF">
        <w:t xml:space="preserve">potrebne sanacije oštećenja </w:t>
      </w:r>
      <w:r w:rsidR="00825A5A">
        <w:rPr>
          <w:bCs/>
        </w:rPr>
        <w:t xml:space="preserve">a prijevozno sredstvo – automobil u vlasništvu Općine </w:t>
      </w:r>
      <w:r w:rsidR="008D0D9E">
        <w:rPr>
          <w:bCs/>
        </w:rPr>
        <w:t xml:space="preserve">je </w:t>
      </w:r>
      <w:r w:rsidR="00825A5A">
        <w:rPr>
          <w:bCs/>
        </w:rPr>
        <w:t>proda</w:t>
      </w:r>
      <w:r w:rsidR="008D0D9E">
        <w:rPr>
          <w:bCs/>
        </w:rPr>
        <w:t xml:space="preserve">n </w:t>
      </w:r>
      <w:r w:rsidR="005033AF">
        <w:rPr>
          <w:bCs/>
        </w:rPr>
        <w:t>z</w:t>
      </w:r>
      <w:r w:rsidR="00825A5A">
        <w:rPr>
          <w:bCs/>
        </w:rPr>
        <w:t>a manji iznos od planiranog</w:t>
      </w:r>
      <w:r w:rsidR="005033AF">
        <w:rPr>
          <w:bCs/>
        </w:rPr>
        <w:t xml:space="preserve"> zbog izostanka interesa na raspisane Javne pozive tijekom godine.</w:t>
      </w:r>
    </w:p>
    <w:p w14:paraId="6513D38E" w14:textId="77777777" w:rsidR="00D26CC9" w:rsidRDefault="00D26CC9">
      <w:pPr>
        <w:spacing w:after="141" w:line="259" w:lineRule="auto"/>
        <w:ind w:left="0" w:right="0" w:firstLine="0"/>
        <w:jc w:val="left"/>
      </w:pPr>
    </w:p>
    <w:p w14:paraId="44A7D4B7" w14:textId="77777777" w:rsidR="00D26CC9" w:rsidRDefault="00000000">
      <w:pPr>
        <w:spacing w:after="169" w:line="261" w:lineRule="auto"/>
        <w:ind w:left="-5" w:right="0"/>
      </w:pPr>
      <w:r>
        <w:rPr>
          <w:b/>
        </w:rPr>
        <w:t xml:space="preserve">RASHODI I IZDACI – OPĆI DIO </w:t>
      </w:r>
      <w:r>
        <w:rPr>
          <w:rFonts w:ascii="Calibri" w:eastAsia="Calibri" w:hAnsi="Calibri" w:cs="Calibri"/>
        </w:rPr>
        <w:t xml:space="preserve"> </w:t>
      </w:r>
    </w:p>
    <w:p w14:paraId="75983A0F" w14:textId="77777777" w:rsidR="00D26CC9" w:rsidRDefault="00000000">
      <w:pPr>
        <w:spacing w:after="0" w:line="261" w:lineRule="auto"/>
        <w:ind w:left="-5" w:right="0"/>
      </w:pPr>
      <w:r>
        <w:rPr>
          <w:b/>
        </w:rPr>
        <w:t xml:space="preserve">Tablica 2. Usporedba rashoda Proračuna Općine Jelenje prema vrsti rashoda  </w:t>
      </w:r>
    </w:p>
    <w:tbl>
      <w:tblPr>
        <w:tblStyle w:val="TableGrid"/>
        <w:tblW w:w="9293" w:type="dxa"/>
        <w:tblInd w:w="362" w:type="dxa"/>
        <w:tblCellMar>
          <w:top w:w="64" w:type="dxa"/>
          <w:left w:w="493" w:type="dxa"/>
          <w:right w:w="35" w:type="dxa"/>
        </w:tblCellMar>
        <w:tblLook w:val="04A0" w:firstRow="1" w:lastRow="0" w:firstColumn="1" w:lastColumn="0" w:noHBand="0" w:noVBand="1"/>
      </w:tblPr>
      <w:tblGrid>
        <w:gridCol w:w="2344"/>
        <w:gridCol w:w="1428"/>
        <w:gridCol w:w="1429"/>
        <w:gridCol w:w="1486"/>
        <w:gridCol w:w="1590"/>
        <w:gridCol w:w="1016"/>
      </w:tblGrid>
      <w:tr w:rsidR="00AB3BCE" w14:paraId="579ACB44" w14:textId="77777777" w:rsidTr="00AB3BCE">
        <w:trPr>
          <w:trHeight w:val="521"/>
        </w:trPr>
        <w:tc>
          <w:tcPr>
            <w:tcW w:w="254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BF83986" w14:textId="77777777" w:rsidR="00AB3BCE" w:rsidRDefault="00AB3BCE">
            <w:pPr>
              <w:spacing w:after="0" w:line="259" w:lineRule="auto"/>
              <w:ind w:left="535" w:right="0" w:firstLine="0"/>
              <w:jc w:val="left"/>
            </w:pPr>
            <w:r>
              <w:rPr>
                <w:b/>
                <w:sz w:val="14"/>
              </w:rPr>
              <w:t xml:space="preserve">RASHODI I IZDACI </w:t>
            </w:r>
            <w:r>
              <w:rPr>
                <w:sz w:val="14"/>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E2EFD9"/>
          </w:tcPr>
          <w:p w14:paraId="2CC3AF0F" w14:textId="77777777" w:rsidR="00AB3BCE" w:rsidRDefault="00AB3BCE">
            <w:pPr>
              <w:spacing w:after="10" w:line="259" w:lineRule="auto"/>
              <w:ind w:left="47" w:right="0" w:firstLine="0"/>
              <w:jc w:val="left"/>
            </w:pPr>
            <w:r>
              <w:rPr>
                <w:b/>
                <w:sz w:val="14"/>
              </w:rPr>
              <w:t xml:space="preserve">PLAN 2024 </w:t>
            </w:r>
          </w:p>
          <w:p w14:paraId="6A1FA325" w14:textId="77777777" w:rsidR="00AB3BCE" w:rsidRDefault="00AB3BCE">
            <w:pPr>
              <w:spacing w:after="0" w:line="259" w:lineRule="auto"/>
              <w:ind w:left="0" w:right="29" w:firstLine="0"/>
              <w:jc w:val="center"/>
            </w:pPr>
            <w:r>
              <w:rPr>
                <w:b/>
                <w:sz w:val="14"/>
              </w:rPr>
              <w:t xml:space="preserve">(eur) </w:t>
            </w:r>
            <w:r>
              <w:rPr>
                <w:sz w:val="14"/>
              </w:rPr>
              <w:t xml:space="preserve"> </w:t>
            </w:r>
          </w:p>
        </w:tc>
        <w:tc>
          <w:tcPr>
            <w:tcW w:w="1205" w:type="dxa"/>
            <w:tcBorders>
              <w:top w:val="single" w:sz="4" w:space="0" w:color="000000"/>
              <w:left w:val="single" w:sz="4" w:space="0" w:color="000000"/>
              <w:bottom w:val="single" w:sz="4" w:space="0" w:color="000000"/>
              <w:right w:val="single" w:sz="4" w:space="0" w:color="000000"/>
            </w:tcBorders>
            <w:shd w:val="clear" w:color="auto" w:fill="E2EFD9"/>
          </w:tcPr>
          <w:p w14:paraId="5AC2B455" w14:textId="77777777" w:rsidR="00AB3BCE" w:rsidRDefault="00AB3BCE">
            <w:pPr>
              <w:spacing w:after="0" w:line="259" w:lineRule="auto"/>
              <w:ind w:left="0" w:right="43" w:firstLine="0"/>
              <w:jc w:val="right"/>
              <w:rPr>
                <w:b/>
                <w:sz w:val="14"/>
              </w:rPr>
            </w:pPr>
            <w:r>
              <w:rPr>
                <w:b/>
                <w:sz w:val="14"/>
              </w:rPr>
              <w:t>PRVE IZMJENE I DOPUNE (eur)</w:t>
            </w:r>
          </w:p>
        </w:tc>
        <w:tc>
          <w:tcPr>
            <w:tcW w:w="1492" w:type="dxa"/>
            <w:tcBorders>
              <w:top w:val="single" w:sz="4" w:space="0" w:color="000000"/>
              <w:left w:val="single" w:sz="4" w:space="0" w:color="000000"/>
              <w:bottom w:val="single" w:sz="4" w:space="0" w:color="000000"/>
              <w:right w:val="single" w:sz="4" w:space="0" w:color="000000"/>
            </w:tcBorders>
            <w:shd w:val="clear" w:color="auto" w:fill="E2EFD9"/>
          </w:tcPr>
          <w:p w14:paraId="7A8CFE50" w14:textId="77777777" w:rsidR="00AB3BCE" w:rsidRDefault="00AB3BCE">
            <w:pPr>
              <w:spacing w:after="0" w:line="259" w:lineRule="auto"/>
              <w:ind w:left="0" w:right="43" w:firstLine="0"/>
              <w:jc w:val="right"/>
            </w:pPr>
            <w:r>
              <w:rPr>
                <w:b/>
                <w:sz w:val="14"/>
              </w:rPr>
              <w:t xml:space="preserve">SMANJENJE/ </w:t>
            </w:r>
          </w:p>
          <w:p w14:paraId="0E053050" w14:textId="77777777" w:rsidR="00AB3BCE" w:rsidRDefault="00AB3BCE">
            <w:pPr>
              <w:spacing w:after="10" w:line="259" w:lineRule="auto"/>
              <w:ind w:left="0" w:right="53" w:firstLine="0"/>
              <w:jc w:val="right"/>
            </w:pPr>
            <w:r>
              <w:rPr>
                <w:b/>
                <w:sz w:val="14"/>
              </w:rPr>
              <w:t xml:space="preserve">POVEĆANJE </w:t>
            </w:r>
          </w:p>
          <w:p w14:paraId="781B1A3E" w14:textId="77777777" w:rsidR="00AB3BCE" w:rsidRDefault="00AB3BCE">
            <w:pPr>
              <w:spacing w:after="0" w:line="259" w:lineRule="auto"/>
              <w:ind w:left="0" w:right="30" w:firstLine="0"/>
              <w:jc w:val="center"/>
            </w:pPr>
            <w:r>
              <w:rPr>
                <w:b/>
                <w:sz w:val="14"/>
              </w:rPr>
              <w:t xml:space="preserve">(eur) </w:t>
            </w:r>
            <w:r>
              <w:rPr>
                <w:sz w:val="14"/>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E2EFD9"/>
          </w:tcPr>
          <w:p w14:paraId="42CAAAAB" w14:textId="77777777" w:rsidR="00AB3BCE" w:rsidRDefault="00AB3BCE">
            <w:pPr>
              <w:spacing w:after="10" w:line="259" w:lineRule="auto"/>
              <w:ind w:left="157" w:right="0" w:firstLine="0"/>
              <w:jc w:val="left"/>
            </w:pPr>
            <w:r>
              <w:rPr>
                <w:b/>
                <w:sz w:val="14"/>
              </w:rPr>
              <w:t xml:space="preserve">NOVI PLAN </w:t>
            </w:r>
          </w:p>
          <w:p w14:paraId="74023C8F" w14:textId="77777777" w:rsidR="00AB3BCE" w:rsidRDefault="00AB3BCE">
            <w:pPr>
              <w:spacing w:after="10" w:line="259" w:lineRule="auto"/>
              <w:ind w:left="0" w:right="28" w:firstLine="0"/>
              <w:jc w:val="center"/>
            </w:pPr>
            <w:r>
              <w:rPr>
                <w:b/>
                <w:sz w:val="14"/>
              </w:rPr>
              <w:t xml:space="preserve">2024 </w:t>
            </w:r>
            <w:r>
              <w:rPr>
                <w:sz w:val="14"/>
              </w:rPr>
              <w:t xml:space="preserve"> </w:t>
            </w:r>
          </w:p>
          <w:p w14:paraId="14DA1D02" w14:textId="77777777" w:rsidR="00AB3BCE" w:rsidRDefault="00AB3BCE">
            <w:pPr>
              <w:spacing w:after="0" w:line="259" w:lineRule="auto"/>
              <w:ind w:left="0" w:right="43" w:firstLine="0"/>
              <w:jc w:val="center"/>
            </w:pPr>
            <w:r>
              <w:rPr>
                <w:b/>
                <w:sz w:val="14"/>
              </w:rPr>
              <w:t xml:space="preserve">(eur) </w:t>
            </w:r>
            <w:r>
              <w:rPr>
                <w:sz w:val="14"/>
              </w:rPr>
              <w:t xml:space="preserve"> </w:t>
            </w:r>
          </w:p>
        </w:tc>
        <w:tc>
          <w:tcPr>
            <w:tcW w:w="1023" w:type="dxa"/>
            <w:tcBorders>
              <w:top w:val="single" w:sz="4" w:space="0" w:color="000000"/>
              <w:left w:val="single" w:sz="4" w:space="0" w:color="000000"/>
              <w:bottom w:val="single" w:sz="4" w:space="0" w:color="000000"/>
              <w:right w:val="single" w:sz="4" w:space="0" w:color="000000"/>
            </w:tcBorders>
            <w:shd w:val="clear" w:color="auto" w:fill="E2EFD9"/>
          </w:tcPr>
          <w:p w14:paraId="0E978E4D" w14:textId="77777777" w:rsidR="00AB3BCE" w:rsidRDefault="00AB3BCE">
            <w:pPr>
              <w:spacing w:after="10" w:line="259" w:lineRule="auto"/>
              <w:ind w:left="0" w:right="39" w:firstLine="0"/>
              <w:jc w:val="right"/>
            </w:pPr>
            <w:r>
              <w:rPr>
                <w:b/>
                <w:sz w:val="14"/>
              </w:rPr>
              <w:t xml:space="preserve">INDEX </w:t>
            </w:r>
          </w:p>
          <w:p w14:paraId="673AD8C4" w14:textId="77777777" w:rsidR="00AB3BCE" w:rsidRDefault="00AB3BCE">
            <w:pPr>
              <w:spacing w:after="0" w:line="259" w:lineRule="auto"/>
              <w:ind w:left="0" w:right="105" w:firstLine="0"/>
              <w:jc w:val="right"/>
            </w:pPr>
            <w:r>
              <w:rPr>
                <w:b/>
                <w:sz w:val="14"/>
              </w:rPr>
              <w:t xml:space="preserve">(4/2) </w:t>
            </w:r>
            <w:r>
              <w:rPr>
                <w:sz w:val="14"/>
              </w:rPr>
              <w:t xml:space="preserve"> </w:t>
            </w:r>
          </w:p>
        </w:tc>
      </w:tr>
      <w:tr w:rsidR="00AB3BCE" w14:paraId="2E318365" w14:textId="77777777" w:rsidTr="00AB3BCE">
        <w:trPr>
          <w:trHeight w:val="218"/>
        </w:trPr>
        <w:tc>
          <w:tcPr>
            <w:tcW w:w="2541" w:type="dxa"/>
            <w:tcBorders>
              <w:top w:val="single" w:sz="4" w:space="0" w:color="000000"/>
              <w:left w:val="single" w:sz="4" w:space="0" w:color="000000"/>
              <w:bottom w:val="single" w:sz="4" w:space="0" w:color="000000"/>
              <w:right w:val="single" w:sz="4" w:space="0" w:color="000000"/>
            </w:tcBorders>
          </w:tcPr>
          <w:p w14:paraId="6874D767" w14:textId="77777777" w:rsidR="00AB3BCE" w:rsidRDefault="00AB3BCE">
            <w:pPr>
              <w:spacing w:after="0" w:line="259" w:lineRule="auto"/>
              <w:ind w:left="0" w:right="4" w:firstLine="0"/>
              <w:jc w:val="center"/>
            </w:pPr>
            <w:r>
              <w:rPr>
                <w:b/>
                <w:sz w:val="14"/>
              </w:rPr>
              <w:t xml:space="preserve"> </w:t>
            </w:r>
            <w:r>
              <w:rPr>
                <w:sz w:val="1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6578733E" w14:textId="77777777" w:rsidR="00AB3BCE" w:rsidRDefault="00AB3BCE">
            <w:pPr>
              <w:spacing w:after="0" w:line="259" w:lineRule="auto"/>
              <w:ind w:left="0" w:right="82" w:firstLine="0"/>
              <w:jc w:val="center"/>
            </w:pPr>
            <w:r>
              <w:rPr>
                <w:b/>
                <w:sz w:val="14"/>
              </w:rPr>
              <w:t xml:space="preserve">1 </w:t>
            </w:r>
            <w:r>
              <w:rPr>
                <w:sz w:val="14"/>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8E9EFC8" w14:textId="77777777" w:rsidR="00AB3BCE" w:rsidRDefault="00AB3BCE">
            <w:pPr>
              <w:spacing w:after="0" w:line="259" w:lineRule="auto"/>
              <w:ind w:left="0" w:right="82" w:firstLine="0"/>
              <w:jc w:val="center"/>
              <w:rPr>
                <w:sz w:val="14"/>
              </w:rPr>
            </w:pPr>
            <w:r>
              <w:rPr>
                <w:sz w:val="14"/>
              </w:rPr>
              <w:t>2</w:t>
            </w:r>
          </w:p>
        </w:tc>
        <w:tc>
          <w:tcPr>
            <w:tcW w:w="1492" w:type="dxa"/>
            <w:tcBorders>
              <w:top w:val="single" w:sz="4" w:space="0" w:color="000000"/>
              <w:left w:val="single" w:sz="4" w:space="0" w:color="000000"/>
              <w:bottom w:val="single" w:sz="4" w:space="0" w:color="000000"/>
              <w:right w:val="single" w:sz="4" w:space="0" w:color="000000"/>
            </w:tcBorders>
          </w:tcPr>
          <w:p w14:paraId="21A0B8D4" w14:textId="77777777" w:rsidR="00AB3BCE" w:rsidRDefault="00AB3BCE">
            <w:pPr>
              <w:spacing w:after="0" w:line="259" w:lineRule="auto"/>
              <w:ind w:left="0" w:right="82" w:firstLine="0"/>
              <w:jc w:val="center"/>
            </w:pPr>
            <w:r>
              <w:rPr>
                <w:sz w:val="14"/>
              </w:rPr>
              <w:t xml:space="preserve">3 </w:t>
            </w:r>
          </w:p>
        </w:tc>
        <w:tc>
          <w:tcPr>
            <w:tcW w:w="1604" w:type="dxa"/>
            <w:tcBorders>
              <w:top w:val="single" w:sz="4" w:space="0" w:color="000000"/>
              <w:left w:val="single" w:sz="4" w:space="0" w:color="000000"/>
              <w:bottom w:val="single" w:sz="4" w:space="0" w:color="000000"/>
              <w:right w:val="single" w:sz="4" w:space="0" w:color="000000"/>
            </w:tcBorders>
          </w:tcPr>
          <w:p w14:paraId="2DDF6972" w14:textId="77777777" w:rsidR="00AB3BCE" w:rsidRDefault="00AB3BCE">
            <w:pPr>
              <w:spacing w:after="0" w:line="259" w:lineRule="auto"/>
              <w:ind w:left="0" w:right="81" w:firstLine="0"/>
              <w:jc w:val="center"/>
            </w:pPr>
            <w:r>
              <w:rPr>
                <w:sz w:val="14"/>
              </w:rPr>
              <w:t xml:space="preserve">4 </w:t>
            </w:r>
          </w:p>
        </w:tc>
        <w:tc>
          <w:tcPr>
            <w:tcW w:w="1023" w:type="dxa"/>
            <w:tcBorders>
              <w:top w:val="single" w:sz="4" w:space="0" w:color="000000"/>
              <w:left w:val="single" w:sz="4" w:space="0" w:color="000000"/>
              <w:bottom w:val="single" w:sz="4" w:space="0" w:color="000000"/>
              <w:right w:val="single" w:sz="4" w:space="0" w:color="000000"/>
            </w:tcBorders>
          </w:tcPr>
          <w:p w14:paraId="6EDCF861" w14:textId="77777777" w:rsidR="00AB3BCE" w:rsidRDefault="00AB3BCE">
            <w:pPr>
              <w:spacing w:after="0" w:line="259" w:lineRule="auto"/>
              <w:ind w:left="0" w:right="77" w:firstLine="0"/>
              <w:jc w:val="center"/>
            </w:pPr>
            <w:r>
              <w:rPr>
                <w:b/>
                <w:sz w:val="14"/>
              </w:rPr>
              <w:t xml:space="preserve">5 </w:t>
            </w:r>
            <w:r>
              <w:rPr>
                <w:sz w:val="14"/>
              </w:rPr>
              <w:t xml:space="preserve"> </w:t>
            </w:r>
          </w:p>
        </w:tc>
      </w:tr>
      <w:tr w:rsidR="00AB3BCE" w14:paraId="28F2CCB1" w14:textId="77777777" w:rsidTr="00AB3BCE">
        <w:trPr>
          <w:trHeight w:val="219"/>
        </w:trPr>
        <w:tc>
          <w:tcPr>
            <w:tcW w:w="2541" w:type="dxa"/>
            <w:tcBorders>
              <w:top w:val="single" w:sz="4" w:space="0" w:color="000000"/>
              <w:left w:val="single" w:sz="4" w:space="0" w:color="000000"/>
              <w:bottom w:val="single" w:sz="4" w:space="0" w:color="000000"/>
              <w:right w:val="single" w:sz="4" w:space="0" w:color="000000"/>
            </w:tcBorders>
          </w:tcPr>
          <w:p w14:paraId="3C8A91BC" w14:textId="77777777" w:rsidR="00AB3BCE" w:rsidRDefault="00AB3BCE">
            <w:pPr>
              <w:spacing w:after="0" w:line="259" w:lineRule="auto"/>
              <w:ind w:left="0" w:right="0" w:firstLine="0"/>
              <w:jc w:val="left"/>
            </w:pPr>
            <w:r>
              <w:rPr>
                <w:sz w:val="14"/>
              </w:rPr>
              <w:t xml:space="preserve">Rashodi za zaposlene (31)  </w:t>
            </w:r>
          </w:p>
        </w:tc>
        <w:tc>
          <w:tcPr>
            <w:tcW w:w="1428" w:type="dxa"/>
            <w:tcBorders>
              <w:top w:val="single" w:sz="4" w:space="0" w:color="000000"/>
              <w:left w:val="single" w:sz="4" w:space="0" w:color="000000"/>
              <w:bottom w:val="single" w:sz="4" w:space="0" w:color="000000"/>
              <w:right w:val="single" w:sz="4" w:space="0" w:color="000000"/>
            </w:tcBorders>
          </w:tcPr>
          <w:p w14:paraId="2B059D2F" w14:textId="77777777" w:rsidR="00AB3BCE" w:rsidRDefault="00AB3BCE">
            <w:pPr>
              <w:spacing w:after="0" w:line="259" w:lineRule="auto"/>
              <w:ind w:left="0" w:right="81" w:firstLine="0"/>
              <w:jc w:val="right"/>
            </w:pPr>
            <w:r>
              <w:rPr>
                <w:sz w:val="14"/>
              </w:rPr>
              <w:t xml:space="preserve">367.936,00  </w:t>
            </w:r>
          </w:p>
        </w:tc>
        <w:tc>
          <w:tcPr>
            <w:tcW w:w="1205" w:type="dxa"/>
            <w:tcBorders>
              <w:top w:val="single" w:sz="4" w:space="0" w:color="000000"/>
              <w:left w:val="single" w:sz="4" w:space="0" w:color="000000"/>
              <w:bottom w:val="single" w:sz="4" w:space="0" w:color="000000"/>
              <w:right w:val="single" w:sz="4" w:space="0" w:color="000000"/>
            </w:tcBorders>
          </w:tcPr>
          <w:p w14:paraId="116BDD48" w14:textId="77777777" w:rsidR="00AB3BCE" w:rsidRDefault="001223E3">
            <w:pPr>
              <w:spacing w:after="0" w:line="259" w:lineRule="auto"/>
              <w:ind w:left="0" w:right="83" w:firstLine="0"/>
              <w:jc w:val="right"/>
              <w:rPr>
                <w:sz w:val="14"/>
              </w:rPr>
            </w:pPr>
            <w:r>
              <w:rPr>
                <w:sz w:val="14"/>
              </w:rPr>
              <w:t>416.265,00</w:t>
            </w:r>
          </w:p>
        </w:tc>
        <w:tc>
          <w:tcPr>
            <w:tcW w:w="1492" w:type="dxa"/>
            <w:tcBorders>
              <w:top w:val="single" w:sz="4" w:space="0" w:color="000000"/>
              <w:left w:val="single" w:sz="4" w:space="0" w:color="000000"/>
              <w:bottom w:val="single" w:sz="4" w:space="0" w:color="000000"/>
              <w:right w:val="single" w:sz="4" w:space="0" w:color="000000"/>
            </w:tcBorders>
          </w:tcPr>
          <w:p w14:paraId="7214D863" w14:textId="77777777" w:rsidR="00AB3BCE" w:rsidRPr="00556822" w:rsidRDefault="00556822">
            <w:pPr>
              <w:spacing w:after="0" w:line="259" w:lineRule="auto"/>
              <w:ind w:left="0" w:right="83" w:firstLine="0"/>
              <w:jc w:val="right"/>
              <w:rPr>
                <w:sz w:val="16"/>
                <w:szCs w:val="16"/>
              </w:rPr>
            </w:pPr>
            <w:r w:rsidRPr="00556822">
              <w:rPr>
                <w:sz w:val="16"/>
                <w:szCs w:val="16"/>
              </w:rPr>
              <w:t>-12.165,00</w:t>
            </w:r>
          </w:p>
        </w:tc>
        <w:tc>
          <w:tcPr>
            <w:tcW w:w="1604" w:type="dxa"/>
            <w:tcBorders>
              <w:top w:val="single" w:sz="4" w:space="0" w:color="000000"/>
              <w:left w:val="single" w:sz="4" w:space="0" w:color="000000"/>
              <w:bottom w:val="single" w:sz="4" w:space="0" w:color="000000"/>
              <w:right w:val="single" w:sz="4" w:space="0" w:color="000000"/>
            </w:tcBorders>
          </w:tcPr>
          <w:p w14:paraId="24BE47E0" w14:textId="77777777" w:rsidR="00AB3BCE" w:rsidRPr="00556822" w:rsidRDefault="00556822">
            <w:pPr>
              <w:spacing w:after="0" w:line="259" w:lineRule="auto"/>
              <w:ind w:left="0" w:right="83" w:firstLine="0"/>
              <w:jc w:val="right"/>
              <w:rPr>
                <w:sz w:val="16"/>
                <w:szCs w:val="16"/>
              </w:rPr>
            </w:pPr>
            <w:r>
              <w:rPr>
                <w:sz w:val="16"/>
                <w:szCs w:val="16"/>
              </w:rPr>
              <w:t>404.100,00</w:t>
            </w:r>
          </w:p>
        </w:tc>
        <w:tc>
          <w:tcPr>
            <w:tcW w:w="1023" w:type="dxa"/>
            <w:tcBorders>
              <w:top w:val="single" w:sz="4" w:space="0" w:color="000000"/>
              <w:left w:val="single" w:sz="4" w:space="0" w:color="000000"/>
              <w:bottom w:val="single" w:sz="4" w:space="0" w:color="000000"/>
              <w:right w:val="single" w:sz="4" w:space="0" w:color="000000"/>
            </w:tcBorders>
          </w:tcPr>
          <w:p w14:paraId="32D8243B" w14:textId="77777777" w:rsidR="00AB3BCE" w:rsidRPr="00556822" w:rsidRDefault="00556822">
            <w:pPr>
              <w:spacing w:after="0" w:line="259" w:lineRule="auto"/>
              <w:ind w:left="105" w:right="0" w:firstLine="0"/>
              <w:jc w:val="left"/>
            </w:pPr>
            <w:r>
              <w:rPr>
                <w:sz w:val="14"/>
              </w:rPr>
              <w:t>97</w:t>
            </w:r>
            <w:r w:rsidR="00AB3BCE" w:rsidRPr="00556822">
              <w:rPr>
                <w:sz w:val="14"/>
              </w:rPr>
              <w:t xml:space="preserve"> </w:t>
            </w:r>
          </w:p>
        </w:tc>
      </w:tr>
      <w:tr w:rsidR="00AB3BCE" w14:paraId="5D57A951" w14:textId="77777777" w:rsidTr="00AB3BCE">
        <w:trPr>
          <w:trHeight w:val="218"/>
        </w:trPr>
        <w:tc>
          <w:tcPr>
            <w:tcW w:w="2541" w:type="dxa"/>
            <w:tcBorders>
              <w:top w:val="single" w:sz="4" w:space="0" w:color="000000"/>
              <w:left w:val="single" w:sz="4" w:space="0" w:color="000000"/>
              <w:bottom w:val="single" w:sz="4" w:space="0" w:color="000000"/>
              <w:right w:val="single" w:sz="4" w:space="0" w:color="000000"/>
            </w:tcBorders>
          </w:tcPr>
          <w:p w14:paraId="05A3734D" w14:textId="77777777" w:rsidR="00AB3BCE" w:rsidRDefault="00AB3BCE">
            <w:pPr>
              <w:spacing w:after="0" w:line="259" w:lineRule="auto"/>
              <w:ind w:left="0" w:right="0" w:firstLine="0"/>
              <w:jc w:val="left"/>
            </w:pPr>
            <w:r>
              <w:rPr>
                <w:sz w:val="14"/>
              </w:rPr>
              <w:t xml:space="preserve">Materijalni rashodi (32)  </w:t>
            </w:r>
          </w:p>
        </w:tc>
        <w:tc>
          <w:tcPr>
            <w:tcW w:w="1428" w:type="dxa"/>
            <w:tcBorders>
              <w:top w:val="single" w:sz="4" w:space="0" w:color="000000"/>
              <w:left w:val="single" w:sz="4" w:space="0" w:color="000000"/>
              <w:bottom w:val="single" w:sz="4" w:space="0" w:color="000000"/>
              <w:right w:val="single" w:sz="4" w:space="0" w:color="000000"/>
            </w:tcBorders>
          </w:tcPr>
          <w:p w14:paraId="6A8B1202" w14:textId="77777777" w:rsidR="00AB3BCE" w:rsidRDefault="00AB3BCE">
            <w:pPr>
              <w:spacing w:after="0" w:line="259" w:lineRule="auto"/>
              <w:ind w:left="0" w:right="84" w:firstLine="0"/>
              <w:jc w:val="right"/>
            </w:pPr>
            <w:r>
              <w:rPr>
                <w:sz w:val="14"/>
              </w:rPr>
              <w:t xml:space="preserve">1.125.110,00  </w:t>
            </w:r>
          </w:p>
        </w:tc>
        <w:tc>
          <w:tcPr>
            <w:tcW w:w="1205" w:type="dxa"/>
            <w:tcBorders>
              <w:top w:val="single" w:sz="4" w:space="0" w:color="000000"/>
              <w:left w:val="single" w:sz="4" w:space="0" w:color="000000"/>
              <w:bottom w:val="single" w:sz="4" w:space="0" w:color="000000"/>
              <w:right w:val="single" w:sz="4" w:space="0" w:color="000000"/>
            </w:tcBorders>
          </w:tcPr>
          <w:p w14:paraId="743ECA0A" w14:textId="77777777" w:rsidR="00AB3BCE" w:rsidRDefault="001223E3">
            <w:pPr>
              <w:spacing w:after="0" w:line="259" w:lineRule="auto"/>
              <w:ind w:left="0" w:right="81" w:firstLine="0"/>
              <w:jc w:val="right"/>
              <w:rPr>
                <w:sz w:val="14"/>
              </w:rPr>
            </w:pPr>
            <w:r>
              <w:rPr>
                <w:sz w:val="14"/>
              </w:rPr>
              <w:t>1.277.512,00</w:t>
            </w:r>
          </w:p>
        </w:tc>
        <w:tc>
          <w:tcPr>
            <w:tcW w:w="1492" w:type="dxa"/>
            <w:tcBorders>
              <w:top w:val="single" w:sz="4" w:space="0" w:color="000000"/>
              <w:left w:val="single" w:sz="4" w:space="0" w:color="000000"/>
              <w:bottom w:val="single" w:sz="4" w:space="0" w:color="000000"/>
              <w:right w:val="single" w:sz="4" w:space="0" w:color="000000"/>
            </w:tcBorders>
          </w:tcPr>
          <w:p w14:paraId="27D9D061" w14:textId="77777777" w:rsidR="00AB3BCE" w:rsidRPr="00556822" w:rsidRDefault="00556822">
            <w:pPr>
              <w:spacing w:after="0" w:line="259" w:lineRule="auto"/>
              <w:ind w:left="0" w:right="81" w:firstLine="0"/>
              <w:jc w:val="right"/>
              <w:rPr>
                <w:sz w:val="16"/>
                <w:szCs w:val="16"/>
              </w:rPr>
            </w:pPr>
            <w:r>
              <w:rPr>
                <w:sz w:val="16"/>
                <w:szCs w:val="16"/>
              </w:rPr>
              <w:t>56.465,00</w:t>
            </w:r>
          </w:p>
        </w:tc>
        <w:tc>
          <w:tcPr>
            <w:tcW w:w="1604" w:type="dxa"/>
            <w:tcBorders>
              <w:top w:val="single" w:sz="4" w:space="0" w:color="000000"/>
              <w:left w:val="single" w:sz="4" w:space="0" w:color="000000"/>
              <w:bottom w:val="single" w:sz="4" w:space="0" w:color="000000"/>
              <w:right w:val="single" w:sz="4" w:space="0" w:color="000000"/>
            </w:tcBorders>
          </w:tcPr>
          <w:p w14:paraId="6A1BDEB2" w14:textId="77777777" w:rsidR="00AB3BCE" w:rsidRPr="00556822" w:rsidRDefault="00556822">
            <w:pPr>
              <w:spacing w:after="0" w:line="259" w:lineRule="auto"/>
              <w:ind w:left="0" w:right="83" w:firstLine="0"/>
              <w:jc w:val="right"/>
              <w:rPr>
                <w:sz w:val="16"/>
                <w:szCs w:val="16"/>
              </w:rPr>
            </w:pPr>
            <w:r>
              <w:rPr>
                <w:sz w:val="16"/>
                <w:szCs w:val="16"/>
              </w:rPr>
              <w:t>1.333.977,00</w:t>
            </w:r>
          </w:p>
        </w:tc>
        <w:tc>
          <w:tcPr>
            <w:tcW w:w="1023" w:type="dxa"/>
            <w:tcBorders>
              <w:top w:val="single" w:sz="4" w:space="0" w:color="000000"/>
              <w:left w:val="single" w:sz="4" w:space="0" w:color="000000"/>
              <w:bottom w:val="single" w:sz="4" w:space="0" w:color="000000"/>
              <w:right w:val="single" w:sz="4" w:space="0" w:color="000000"/>
            </w:tcBorders>
          </w:tcPr>
          <w:p w14:paraId="4A3B3B1D" w14:textId="77777777" w:rsidR="00AB3BCE" w:rsidRPr="00556822" w:rsidRDefault="00556822">
            <w:pPr>
              <w:spacing w:after="0" w:line="259" w:lineRule="auto"/>
              <w:ind w:left="103" w:right="0" w:firstLine="0"/>
              <w:jc w:val="left"/>
            </w:pPr>
            <w:r>
              <w:rPr>
                <w:sz w:val="14"/>
              </w:rPr>
              <w:t>104</w:t>
            </w:r>
          </w:p>
        </w:tc>
      </w:tr>
      <w:tr w:rsidR="00AB3BCE" w14:paraId="1FB10E06" w14:textId="77777777" w:rsidTr="00AB3BCE">
        <w:trPr>
          <w:trHeight w:val="300"/>
        </w:trPr>
        <w:tc>
          <w:tcPr>
            <w:tcW w:w="2541" w:type="dxa"/>
            <w:tcBorders>
              <w:top w:val="single" w:sz="4" w:space="0" w:color="000000"/>
              <w:left w:val="single" w:sz="4" w:space="0" w:color="000000"/>
              <w:bottom w:val="single" w:sz="4" w:space="0" w:color="000000"/>
              <w:right w:val="single" w:sz="4" w:space="0" w:color="000000"/>
            </w:tcBorders>
          </w:tcPr>
          <w:p w14:paraId="070763D8" w14:textId="77777777" w:rsidR="00AB3BCE" w:rsidRDefault="00AB3BCE">
            <w:pPr>
              <w:spacing w:after="0" w:line="259" w:lineRule="auto"/>
              <w:ind w:left="0" w:right="0" w:firstLine="0"/>
              <w:jc w:val="left"/>
            </w:pPr>
            <w:r>
              <w:rPr>
                <w:sz w:val="14"/>
              </w:rPr>
              <w:t xml:space="preserve">Financijski rashodi (34)  </w:t>
            </w:r>
          </w:p>
        </w:tc>
        <w:tc>
          <w:tcPr>
            <w:tcW w:w="1428" w:type="dxa"/>
            <w:tcBorders>
              <w:top w:val="single" w:sz="4" w:space="0" w:color="000000"/>
              <w:left w:val="single" w:sz="4" w:space="0" w:color="000000"/>
              <w:bottom w:val="single" w:sz="4" w:space="0" w:color="000000"/>
              <w:right w:val="single" w:sz="4" w:space="0" w:color="000000"/>
            </w:tcBorders>
          </w:tcPr>
          <w:p w14:paraId="418DF9A9" w14:textId="77777777" w:rsidR="00AB3BCE" w:rsidRDefault="00AB3BCE">
            <w:pPr>
              <w:spacing w:after="0" w:line="259" w:lineRule="auto"/>
              <w:ind w:left="0" w:right="79" w:firstLine="0"/>
              <w:jc w:val="right"/>
            </w:pPr>
            <w:r>
              <w:rPr>
                <w:sz w:val="14"/>
              </w:rPr>
              <w:t xml:space="preserve">29.143,00  </w:t>
            </w:r>
          </w:p>
        </w:tc>
        <w:tc>
          <w:tcPr>
            <w:tcW w:w="1205" w:type="dxa"/>
            <w:tcBorders>
              <w:top w:val="single" w:sz="4" w:space="0" w:color="000000"/>
              <w:left w:val="single" w:sz="4" w:space="0" w:color="000000"/>
              <w:bottom w:val="single" w:sz="4" w:space="0" w:color="000000"/>
              <w:right w:val="single" w:sz="4" w:space="0" w:color="000000"/>
            </w:tcBorders>
          </w:tcPr>
          <w:p w14:paraId="7EAF97F7" w14:textId="77777777" w:rsidR="00AB3BCE" w:rsidRDefault="001223E3">
            <w:pPr>
              <w:spacing w:after="0" w:line="259" w:lineRule="auto"/>
              <w:ind w:left="0" w:right="83" w:firstLine="0"/>
              <w:jc w:val="right"/>
              <w:rPr>
                <w:sz w:val="14"/>
              </w:rPr>
            </w:pPr>
            <w:r>
              <w:rPr>
                <w:sz w:val="14"/>
              </w:rPr>
              <w:t>30.904,00</w:t>
            </w:r>
          </w:p>
        </w:tc>
        <w:tc>
          <w:tcPr>
            <w:tcW w:w="1492" w:type="dxa"/>
            <w:tcBorders>
              <w:top w:val="single" w:sz="4" w:space="0" w:color="000000"/>
              <w:left w:val="single" w:sz="4" w:space="0" w:color="000000"/>
              <w:bottom w:val="single" w:sz="4" w:space="0" w:color="000000"/>
              <w:right w:val="single" w:sz="4" w:space="0" w:color="000000"/>
            </w:tcBorders>
          </w:tcPr>
          <w:p w14:paraId="3165DB30" w14:textId="77777777" w:rsidR="00AB3BCE" w:rsidRPr="00556822" w:rsidRDefault="00556822">
            <w:pPr>
              <w:spacing w:after="0" w:line="259" w:lineRule="auto"/>
              <w:ind w:left="0" w:right="83" w:firstLine="0"/>
              <w:jc w:val="right"/>
              <w:rPr>
                <w:sz w:val="16"/>
                <w:szCs w:val="16"/>
              </w:rPr>
            </w:pPr>
            <w:r>
              <w:rPr>
                <w:sz w:val="16"/>
                <w:szCs w:val="16"/>
              </w:rPr>
              <w:t>500,00</w:t>
            </w:r>
          </w:p>
        </w:tc>
        <w:tc>
          <w:tcPr>
            <w:tcW w:w="1604" w:type="dxa"/>
            <w:tcBorders>
              <w:top w:val="single" w:sz="4" w:space="0" w:color="000000"/>
              <w:left w:val="single" w:sz="4" w:space="0" w:color="000000"/>
              <w:bottom w:val="single" w:sz="4" w:space="0" w:color="000000"/>
              <w:right w:val="single" w:sz="4" w:space="0" w:color="000000"/>
            </w:tcBorders>
          </w:tcPr>
          <w:p w14:paraId="2B968F0A" w14:textId="77777777" w:rsidR="00AB3BCE" w:rsidRPr="00556822" w:rsidRDefault="00556822">
            <w:pPr>
              <w:spacing w:after="0" w:line="259" w:lineRule="auto"/>
              <w:ind w:left="0" w:right="85" w:firstLine="0"/>
              <w:jc w:val="right"/>
              <w:rPr>
                <w:sz w:val="16"/>
                <w:szCs w:val="16"/>
              </w:rPr>
            </w:pPr>
            <w:r>
              <w:rPr>
                <w:sz w:val="16"/>
                <w:szCs w:val="16"/>
              </w:rPr>
              <w:t>31.404,00</w:t>
            </w:r>
          </w:p>
        </w:tc>
        <w:tc>
          <w:tcPr>
            <w:tcW w:w="1023" w:type="dxa"/>
            <w:tcBorders>
              <w:top w:val="single" w:sz="4" w:space="0" w:color="000000"/>
              <w:left w:val="single" w:sz="4" w:space="0" w:color="000000"/>
              <w:bottom w:val="single" w:sz="4" w:space="0" w:color="000000"/>
              <w:right w:val="single" w:sz="4" w:space="0" w:color="000000"/>
            </w:tcBorders>
          </w:tcPr>
          <w:p w14:paraId="49FA3ADD" w14:textId="77777777" w:rsidR="00AB3BCE" w:rsidRPr="00556822" w:rsidRDefault="00556822">
            <w:pPr>
              <w:spacing w:after="0" w:line="259" w:lineRule="auto"/>
              <w:ind w:left="98" w:right="0" w:firstLine="0"/>
              <w:jc w:val="left"/>
            </w:pPr>
            <w:r>
              <w:rPr>
                <w:sz w:val="14"/>
              </w:rPr>
              <w:t>102</w:t>
            </w:r>
          </w:p>
        </w:tc>
      </w:tr>
      <w:tr w:rsidR="00AB3BCE" w14:paraId="6CDA4B73" w14:textId="77777777" w:rsidTr="00AB3BCE">
        <w:trPr>
          <w:trHeight w:val="300"/>
        </w:trPr>
        <w:tc>
          <w:tcPr>
            <w:tcW w:w="2541" w:type="dxa"/>
            <w:tcBorders>
              <w:top w:val="single" w:sz="4" w:space="0" w:color="000000"/>
              <w:left w:val="single" w:sz="4" w:space="0" w:color="000000"/>
              <w:bottom w:val="single" w:sz="4" w:space="0" w:color="000000"/>
              <w:right w:val="single" w:sz="4" w:space="0" w:color="000000"/>
            </w:tcBorders>
          </w:tcPr>
          <w:p w14:paraId="6673B892" w14:textId="77777777" w:rsidR="00AB3BCE" w:rsidRDefault="00AB3BCE">
            <w:pPr>
              <w:spacing w:after="0" w:line="259" w:lineRule="auto"/>
              <w:ind w:left="0" w:right="0" w:firstLine="0"/>
              <w:jc w:val="left"/>
            </w:pPr>
            <w:r>
              <w:rPr>
                <w:sz w:val="14"/>
              </w:rPr>
              <w:t xml:space="preserve">Subvencije (35)  </w:t>
            </w:r>
          </w:p>
        </w:tc>
        <w:tc>
          <w:tcPr>
            <w:tcW w:w="1428" w:type="dxa"/>
            <w:tcBorders>
              <w:top w:val="single" w:sz="4" w:space="0" w:color="000000"/>
              <w:left w:val="single" w:sz="4" w:space="0" w:color="000000"/>
              <w:bottom w:val="single" w:sz="4" w:space="0" w:color="000000"/>
              <w:right w:val="single" w:sz="4" w:space="0" w:color="000000"/>
            </w:tcBorders>
          </w:tcPr>
          <w:p w14:paraId="007CA251" w14:textId="77777777" w:rsidR="00AB3BCE" w:rsidRDefault="00AB3BCE">
            <w:pPr>
              <w:spacing w:after="0" w:line="259" w:lineRule="auto"/>
              <w:ind w:left="0" w:right="81" w:firstLine="0"/>
              <w:jc w:val="right"/>
            </w:pPr>
            <w:r>
              <w:rPr>
                <w:sz w:val="14"/>
              </w:rPr>
              <w:t xml:space="preserve">213.300,00  </w:t>
            </w:r>
          </w:p>
        </w:tc>
        <w:tc>
          <w:tcPr>
            <w:tcW w:w="1205" w:type="dxa"/>
            <w:tcBorders>
              <w:top w:val="single" w:sz="4" w:space="0" w:color="000000"/>
              <w:left w:val="single" w:sz="4" w:space="0" w:color="000000"/>
              <w:bottom w:val="single" w:sz="4" w:space="0" w:color="000000"/>
              <w:right w:val="single" w:sz="4" w:space="0" w:color="000000"/>
            </w:tcBorders>
          </w:tcPr>
          <w:p w14:paraId="486BB8C5" w14:textId="77777777" w:rsidR="00AB3BCE" w:rsidRDefault="001223E3">
            <w:pPr>
              <w:spacing w:after="0" w:line="259" w:lineRule="auto"/>
              <w:ind w:left="0" w:right="83" w:firstLine="0"/>
              <w:jc w:val="right"/>
              <w:rPr>
                <w:sz w:val="14"/>
              </w:rPr>
            </w:pPr>
            <w:r>
              <w:rPr>
                <w:sz w:val="14"/>
              </w:rPr>
              <w:t>291.000,00</w:t>
            </w:r>
          </w:p>
        </w:tc>
        <w:tc>
          <w:tcPr>
            <w:tcW w:w="1492" w:type="dxa"/>
            <w:tcBorders>
              <w:top w:val="single" w:sz="4" w:space="0" w:color="000000"/>
              <w:left w:val="single" w:sz="4" w:space="0" w:color="000000"/>
              <w:bottom w:val="single" w:sz="4" w:space="0" w:color="000000"/>
              <w:right w:val="single" w:sz="4" w:space="0" w:color="000000"/>
            </w:tcBorders>
          </w:tcPr>
          <w:p w14:paraId="679C3202" w14:textId="77777777" w:rsidR="00AB3BCE" w:rsidRPr="00556822" w:rsidRDefault="00556822">
            <w:pPr>
              <w:spacing w:after="0" w:line="259" w:lineRule="auto"/>
              <w:ind w:left="0" w:right="83" w:firstLine="0"/>
              <w:jc w:val="right"/>
              <w:rPr>
                <w:sz w:val="16"/>
                <w:szCs w:val="16"/>
              </w:rPr>
            </w:pPr>
            <w:r>
              <w:rPr>
                <w:sz w:val="16"/>
                <w:szCs w:val="16"/>
              </w:rPr>
              <w:t>0,00</w:t>
            </w:r>
          </w:p>
        </w:tc>
        <w:tc>
          <w:tcPr>
            <w:tcW w:w="1604" w:type="dxa"/>
            <w:tcBorders>
              <w:top w:val="single" w:sz="4" w:space="0" w:color="000000"/>
              <w:left w:val="single" w:sz="4" w:space="0" w:color="000000"/>
              <w:bottom w:val="single" w:sz="4" w:space="0" w:color="000000"/>
              <w:right w:val="single" w:sz="4" w:space="0" w:color="000000"/>
            </w:tcBorders>
          </w:tcPr>
          <w:p w14:paraId="6E37773A" w14:textId="77777777" w:rsidR="00AB3BCE" w:rsidRPr="00556822" w:rsidRDefault="00556822">
            <w:pPr>
              <w:spacing w:after="0" w:line="259" w:lineRule="auto"/>
              <w:ind w:left="0" w:right="83" w:firstLine="0"/>
              <w:jc w:val="right"/>
              <w:rPr>
                <w:sz w:val="16"/>
                <w:szCs w:val="16"/>
              </w:rPr>
            </w:pPr>
            <w:r>
              <w:rPr>
                <w:sz w:val="16"/>
                <w:szCs w:val="16"/>
              </w:rPr>
              <w:t>291.000,00</w:t>
            </w:r>
          </w:p>
        </w:tc>
        <w:tc>
          <w:tcPr>
            <w:tcW w:w="1023" w:type="dxa"/>
            <w:tcBorders>
              <w:top w:val="single" w:sz="4" w:space="0" w:color="000000"/>
              <w:left w:val="single" w:sz="4" w:space="0" w:color="000000"/>
              <w:bottom w:val="single" w:sz="4" w:space="0" w:color="000000"/>
              <w:right w:val="single" w:sz="4" w:space="0" w:color="000000"/>
            </w:tcBorders>
          </w:tcPr>
          <w:p w14:paraId="60E5D99D" w14:textId="77777777" w:rsidR="00AB3BCE" w:rsidRPr="00556822" w:rsidRDefault="00556822">
            <w:pPr>
              <w:spacing w:after="0" w:line="259" w:lineRule="auto"/>
              <w:ind w:left="98" w:right="0" w:firstLine="0"/>
              <w:jc w:val="left"/>
            </w:pPr>
            <w:r>
              <w:rPr>
                <w:sz w:val="14"/>
              </w:rPr>
              <w:t>100</w:t>
            </w:r>
          </w:p>
        </w:tc>
      </w:tr>
      <w:tr w:rsidR="00AB3BCE" w14:paraId="70E5C872" w14:textId="77777777" w:rsidTr="00AB3BCE">
        <w:trPr>
          <w:trHeight w:val="300"/>
        </w:trPr>
        <w:tc>
          <w:tcPr>
            <w:tcW w:w="2541" w:type="dxa"/>
            <w:tcBorders>
              <w:top w:val="single" w:sz="4" w:space="0" w:color="000000"/>
              <w:left w:val="single" w:sz="4" w:space="0" w:color="000000"/>
              <w:bottom w:val="single" w:sz="4" w:space="0" w:color="000000"/>
              <w:right w:val="single" w:sz="4" w:space="0" w:color="000000"/>
            </w:tcBorders>
          </w:tcPr>
          <w:p w14:paraId="0D8D7ECE" w14:textId="77777777" w:rsidR="00AB3BCE" w:rsidRDefault="00AB3BCE">
            <w:pPr>
              <w:spacing w:after="0" w:line="259" w:lineRule="auto"/>
              <w:ind w:left="0" w:right="0" w:firstLine="0"/>
              <w:jc w:val="left"/>
            </w:pPr>
            <w:r>
              <w:rPr>
                <w:sz w:val="14"/>
              </w:rPr>
              <w:t xml:space="preserve">Pomoći (36)  </w:t>
            </w:r>
          </w:p>
        </w:tc>
        <w:tc>
          <w:tcPr>
            <w:tcW w:w="1428" w:type="dxa"/>
            <w:tcBorders>
              <w:top w:val="single" w:sz="4" w:space="0" w:color="000000"/>
              <w:left w:val="single" w:sz="4" w:space="0" w:color="000000"/>
              <w:bottom w:val="single" w:sz="4" w:space="0" w:color="000000"/>
              <w:right w:val="single" w:sz="4" w:space="0" w:color="000000"/>
            </w:tcBorders>
          </w:tcPr>
          <w:p w14:paraId="08465A6A" w14:textId="77777777" w:rsidR="00AB3BCE" w:rsidRDefault="00AB3BCE">
            <w:pPr>
              <w:spacing w:after="0" w:line="259" w:lineRule="auto"/>
              <w:ind w:left="0" w:right="79" w:firstLine="0"/>
              <w:jc w:val="right"/>
            </w:pPr>
            <w:r>
              <w:rPr>
                <w:sz w:val="14"/>
              </w:rPr>
              <w:t xml:space="preserve">70.200,00  </w:t>
            </w:r>
          </w:p>
        </w:tc>
        <w:tc>
          <w:tcPr>
            <w:tcW w:w="1205" w:type="dxa"/>
            <w:tcBorders>
              <w:top w:val="single" w:sz="4" w:space="0" w:color="000000"/>
              <w:left w:val="single" w:sz="4" w:space="0" w:color="000000"/>
              <w:bottom w:val="single" w:sz="4" w:space="0" w:color="000000"/>
              <w:right w:val="single" w:sz="4" w:space="0" w:color="000000"/>
            </w:tcBorders>
          </w:tcPr>
          <w:p w14:paraId="0E07431E" w14:textId="77777777" w:rsidR="00AB3BCE" w:rsidRDefault="001223E3">
            <w:pPr>
              <w:spacing w:after="0" w:line="259" w:lineRule="auto"/>
              <w:ind w:left="0" w:right="83" w:firstLine="0"/>
              <w:jc w:val="right"/>
              <w:rPr>
                <w:sz w:val="14"/>
              </w:rPr>
            </w:pPr>
            <w:r>
              <w:rPr>
                <w:sz w:val="14"/>
              </w:rPr>
              <w:t>25.200,00</w:t>
            </w:r>
          </w:p>
        </w:tc>
        <w:tc>
          <w:tcPr>
            <w:tcW w:w="1492" w:type="dxa"/>
            <w:tcBorders>
              <w:top w:val="single" w:sz="4" w:space="0" w:color="000000"/>
              <w:left w:val="single" w:sz="4" w:space="0" w:color="000000"/>
              <w:bottom w:val="single" w:sz="4" w:space="0" w:color="000000"/>
              <w:right w:val="single" w:sz="4" w:space="0" w:color="000000"/>
            </w:tcBorders>
          </w:tcPr>
          <w:p w14:paraId="47A688A0" w14:textId="77777777" w:rsidR="00AB3BCE" w:rsidRPr="00556822" w:rsidRDefault="00556822">
            <w:pPr>
              <w:spacing w:after="0" w:line="259" w:lineRule="auto"/>
              <w:ind w:left="0" w:right="83" w:firstLine="0"/>
              <w:jc w:val="right"/>
              <w:rPr>
                <w:sz w:val="16"/>
                <w:szCs w:val="16"/>
              </w:rPr>
            </w:pPr>
            <w:r>
              <w:rPr>
                <w:sz w:val="16"/>
                <w:szCs w:val="16"/>
              </w:rPr>
              <w:t>0,00</w:t>
            </w:r>
          </w:p>
        </w:tc>
        <w:tc>
          <w:tcPr>
            <w:tcW w:w="1604" w:type="dxa"/>
            <w:tcBorders>
              <w:top w:val="single" w:sz="4" w:space="0" w:color="000000"/>
              <w:left w:val="single" w:sz="4" w:space="0" w:color="000000"/>
              <w:bottom w:val="single" w:sz="4" w:space="0" w:color="000000"/>
              <w:right w:val="single" w:sz="4" w:space="0" w:color="000000"/>
            </w:tcBorders>
          </w:tcPr>
          <w:p w14:paraId="5AD43AD7" w14:textId="77777777" w:rsidR="00AB3BCE" w:rsidRPr="00556822" w:rsidRDefault="00556822">
            <w:pPr>
              <w:spacing w:after="0" w:line="259" w:lineRule="auto"/>
              <w:ind w:left="0" w:right="85" w:firstLine="0"/>
              <w:jc w:val="right"/>
              <w:rPr>
                <w:sz w:val="16"/>
                <w:szCs w:val="16"/>
              </w:rPr>
            </w:pPr>
            <w:r>
              <w:rPr>
                <w:sz w:val="16"/>
                <w:szCs w:val="16"/>
              </w:rPr>
              <w:t>25.200,00</w:t>
            </w:r>
          </w:p>
        </w:tc>
        <w:tc>
          <w:tcPr>
            <w:tcW w:w="1023" w:type="dxa"/>
            <w:tcBorders>
              <w:top w:val="single" w:sz="4" w:space="0" w:color="000000"/>
              <w:left w:val="single" w:sz="4" w:space="0" w:color="000000"/>
              <w:bottom w:val="single" w:sz="4" w:space="0" w:color="000000"/>
              <w:right w:val="single" w:sz="4" w:space="0" w:color="000000"/>
            </w:tcBorders>
          </w:tcPr>
          <w:p w14:paraId="1AE22658" w14:textId="77777777" w:rsidR="00AB3BCE" w:rsidRPr="00556822" w:rsidRDefault="00556822">
            <w:pPr>
              <w:spacing w:after="0" w:line="259" w:lineRule="auto"/>
              <w:ind w:left="0" w:right="82" w:firstLine="0"/>
              <w:jc w:val="center"/>
            </w:pPr>
            <w:r>
              <w:rPr>
                <w:sz w:val="14"/>
              </w:rPr>
              <w:t>100</w:t>
            </w:r>
          </w:p>
        </w:tc>
      </w:tr>
      <w:tr w:rsidR="00AB3BCE" w14:paraId="6D58C127" w14:textId="77777777" w:rsidTr="00AB3BCE">
        <w:trPr>
          <w:trHeight w:val="379"/>
        </w:trPr>
        <w:tc>
          <w:tcPr>
            <w:tcW w:w="2541" w:type="dxa"/>
            <w:tcBorders>
              <w:top w:val="single" w:sz="4" w:space="0" w:color="000000"/>
              <w:left w:val="single" w:sz="4" w:space="0" w:color="000000"/>
              <w:bottom w:val="single" w:sz="4" w:space="0" w:color="000000"/>
              <w:right w:val="single" w:sz="4" w:space="0" w:color="000000"/>
            </w:tcBorders>
          </w:tcPr>
          <w:p w14:paraId="3A47AC62" w14:textId="77777777" w:rsidR="00AB3BCE" w:rsidRDefault="00AB3BCE">
            <w:pPr>
              <w:spacing w:after="10" w:line="259" w:lineRule="auto"/>
              <w:ind w:left="0" w:right="0" w:firstLine="0"/>
              <w:jc w:val="left"/>
            </w:pPr>
            <w:r>
              <w:rPr>
                <w:sz w:val="14"/>
              </w:rPr>
              <w:t xml:space="preserve">Naknade građanima i kućanstvima </w:t>
            </w:r>
          </w:p>
          <w:p w14:paraId="6AAD05E3" w14:textId="77777777" w:rsidR="00AB3BCE" w:rsidRDefault="00AB3BCE">
            <w:pPr>
              <w:spacing w:after="0" w:line="259" w:lineRule="auto"/>
              <w:ind w:right="0" w:firstLine="0"/>
              <w:jc w:val="left"/>
            </w:pPr>
            <w:r>
              <w:rPr>
                <w:sz w:val="14"/>
              </w:rPr>
              <w:t xml:space="preserve">(37)  </w:t>
            </w:r>
          </w:p>
        </w:tc>
        <w:tc>
          <w:tcPr>
            <w:tcW w:w="1428" w:type="dxa"/>
            <w:tcBorders>
              <w:top w:val="single" w:sz="4" w:space="0" w:color="000000"/>
              <w:left w:val="single" w:sz="4" w:space="0" w:color="000000"/>
              <w:bottom w:val="single" w:sz="4" w:space="0" w:color="000000"/>
              <w:right w:val="single" w:sz="4" w:space="0" w:color="000000"/>
            </w:tcBorders>
          </w:tcPr>
          <w:p w14:paraId="0AC7D0F3" w14:textId="77777777" w:rsidR="00AB3BCE" w:rsidRDefault="00AB3BCE">
            <w:pPr>
              <w:spacing w:after="0" w:line="259" w:lineRule="auto"/>
              <w:ind w:left="0" w:right="81" w:firstLine="0"/>
              <w:jc w:val="right"/>
            </w:pPr>
            <w:r>
              <w:rPr>
                <w:sz w:val="14"/>
              </w:rPr>
              <w:t xml:space="preserve">645.100,00  </w:t>
            </w:r>
          </w:p>
        </w:tc>
        <w:tc>
          <w:tcPr>
            <w:tcW w:w="1205" w:type="dxa"/>
            <w:tcBorders>
              <w:top w:val="single" w:sz="4" w:space="0" w:color="000000"/>
              <w:left w:val="single" w:sz="4" w:space="0" w:color="000000"/>
              <w:bottom w:val="single" w:sz="4" w:space="0" w:color="000000"/>
              <w:right w:val="single" w:sz="4" w:space="0" w:color="000000"/>
            </w:tcBorders>
          </w:tcPr>
          <w:p w14:paraId="2EA7BAF1" w14:textId="77777777" w:rsidR="00AB3BCE" w:rsidRDefault="001223E3">
            <w:pPr>
              <w:spacing w:after="0" w:line="259" w:lineRule="auto"/>
              <w:ind w:left="0" w:right="83" w:firstLine="0"/>
              <w:jc w:val="right"/>
              <w:rPr>
                <w:sz w:val="14"/>
              </w:rPr>
            </w:pPr>
            <w:r>
              <w:rPr>
                <w:sz w:val="14"/>
              </w:rPr>
              <w:t>692.240,00</w:t>
            </w:r>
          </w:p>
        </w:tc>
        <w:tc>
          <w:tcPr>
            <w:tcW w:w="1492" w:type="dxa"/>
            <w:tcBorders>
              <w:top w:val="single" w:sz="4" w:space="0" w:color="000000"/>
              <w:left w:val="single" w:sz="4" w:space="0" w:color="000000"/>
              <w:bottom w:val="single" w:sz="4" w:space="0" w:color="000000"/>
              <w:right w:val="single" w:sz="4" w:space="0" w:color="000000"/>
            </w:tcBorders>
          </w:tcPr>
          <w:p w14:paraId="73BB8005" w14:textId="77777777" w:rsidR="00AB3BCE" w:rsidRPr="00556822" w:rsidRDefault="00556822">
            <w:pPr>
              <w:spacing w:after="0" w:line="259" w:lineRule="auto"/>
              <w:ind w:left="0" w:right="83" w:firstLine="0"/>
              <w:jc w:val="right"/>
              <w:rPr>
                <w:sz w:val="16"/>
                <w:szCs w:val="16"/>
              </w:rPr>
            </w:pPr>
            <w:r>
              <w:rPr>
                <w:sz w:val="16"/>
                <w:szCs w:val="16"/>
              </w:rPr>
              <w:t>-5.800,00</w:t>
            </w:r>
          </w:p>
        </w:tc>
        <w:tc>
          <w:tcPr>
            <w:tcW w:w="1604" w:type="dxa"/>
            <w:tcBorders>
              <w:top w:val="single" w:sz="4" w:space="0" w:color="000000"/>
              <w:left w:val="single" w:sz="4" w:space="0" w:color="000000"/>
              <w:bottom w:val="single" w:sz="4" w:space="0" w:color="000000"/>
              <w:right w:val="single" w:sz="4" w:space="0" w:color="000000"/>
            </w:tcBorders>
          </w:tcPr>
          <w:p w14:paraId="7B2B432A" w14:textId="77777777" w:rsidR="00AB3BCE" w:rsidRPr="00556822" w:rsidRDefault="00556822">
            <w:pPr>
              <w:spacing w:after="0" w:line="259" w:lineRule="auto"/>
              <w:ind w:left="0" w:right="83" w:firstLine="0"/>
              <w:jc w:val="right"/>
              <w:rPr>
                <w:sz w:val="16"/>
                <w:szCs w:val="16"/>
              </w:rPr>
            </w:pPr>
            <w:r>
              <w:rPr>
                <w:sz w:val="16"/>
                <w:szCs w:val="16"/>
              </w:rPr>
              <w:t>686.440,00</w:t>
            </w:r>
          </w:p>
        </w:tc>
        <w:tc>
          <w:tcPr>
            <w:tcW w:w="1023" w:type="dxa"/>
            <w:tcBorders>
              <w:top w:val="single" w:sz="4" w:space="0" w:color="000000"/>
              <w:left w:val="single" w:sz="4" w:space="0" w:color="000000"/>
              <w:bottom w:val="single" w:sz="4" w:space="0" w:color="000000"/>
              <w:right w:val="single" w:sz="4" w:space="0" w:color="000000"/>
            </w:tcBorders>
          </w:tcPr>
          <w:p w14:paraId="45BC8C22" w14:textId="77777777" w:rsidR="00AB3BCE" w:rsidRPr="00556822" w:rsidRDefault="00316730">
            <w:pPr>
              <w:spacing w:after="0" w:line="259" w:lineRule="auto"/>
              <w:ind w:left="98" w:right="0" w:firstLine="0"/>
              <w:jc w:val="left"/>
            </w:pPr>
            <w:r>
              <w:rPr>
                <w:sz w:val="14"/>
              </w:rPr>
              <w:t>99</w:t>
            </w:r>
          </w:p>
        </w:tc>
      </w:tr>
      <w:tr w:rsidR="00AB3BCE" w14:paraId="1817F9E1" w14:textId="77777777" w:rsidTr="00AB3BCE">
        <w:trPr>
          <w:trHeight w:val="300"/>
        </w:trPr>
        <w:tc>
          <w:tcPr>
            <w:tcW w:w="2541" w:type="dxa"/>
            <w:tcBorders>
              <w:top w:val="single" w:sz="4" w:space="0" w:color="000000"/>
              <w:left w:val="single" w:sz="4" w:space="0" w:color="000000"/>
              <w:bottom w:val="single" w:sz="4" w:space="0" w:color="000000"/>
              <w:right w:val="single" w:sz="4" w:space="0" w:color="000000"/>
            </w:tcBorders>
          </w:tcPr>
          <w:p w14:paraId="00F6D5FB" w14:textId="77777777" w:rsidR="00AB3BCE" w:rsidRDefault="00AB3BCE">
            <w:pPr>
              <w:spacing w:after="0" w:line="259" w:lineRule="auto"/>
              <w:ind w:left="0" w:right="0" w:firstLine="0"/>
              <w:jc w:val="left"/>
            </w:pPr>
            <w:r>
              <w:rPr>
                <w:sz w:val="14"/>
              </w:rPr>
              <w:t xml:space="preserve">Ostali rashodi (38)  </w:t>
            </w:r>
          </w:p>
        </w:tc>
        <w:tc>
          <w:tcPr>
            <w:tcW w:w="1428" w:type="dxa"/>
            <w:tcBorders>
              <w:top w:val="single" w:sz="4" w:space="0" w:color="000000"/>
              <w:left w:val="single" w:sz="4" w:space="0" w:color="000000"/>
              <w:bottom w:val="single" w:sz="4" w:space="0" w:color="000000"/>
              <w:right w:val="single" w:sz="4" w:space="0" w:color="000000"/>
            </w:tcBorders>
          </w:tcPr>
          <w:p w14:paraId="187BA560" w14:textId="77777777" w:rsidR="00AB3BCE" w:rsidRDefault="00AB3BCE">
            <w:pPr>
              <w:spacing w:after="0" w:line="259" w:lineRule="auto"/>
              <w:ind w:left="0" w:right="81" w:firstLine="0"/>
              <w:jc w:val="right"/>
            </w:pPr>
            <w:r>
              <w:rPr>
                <w:sz w:val="14"/>
              </w:rPr>
              <w:t xml:space="preserve">446.263,00  </w:t>
            </w:r>
          </w:p>
        </w:tc>
        <w:tc>
          <w:tcPr>
            <w:tcW w:w="1205" w:type="dxa"/>
            <w:tcBorders>
              <w:top w:val="single" w:sz="4" w:space="0" w:color="000000"/>
              <w:left w:val="single" w:sz="4" w:space="0" w:color="000000"/>
              <w:bottom w:val="single" w:sz="4" w:space="0" w:color="000000"/>
              <w:right w:val="single" w:sz="4" w:space="0" w:color="000000"/>
            </w:tcBorders>
          </w:tcPr>
          <w:p w14:paraId="5A840747" w14:textId="77777777" w:rsidR="00AB3BCE" w:rsidRDefault="001223E3">
            <w:pPr>
              <w:spacing w:after="0" w:line="259" w:lineRule="auto"/>
              <w:ind w:left="0" w:right="85" w:firstLine="0"/>
              <w:jc w:val="right"/>
              <w:rPr>
                <w:sz w:val="14"/>
              </w:rPr>
            </w:pPr>
            <w:r>
              <w:rPr>
                <w:sz w:val="14"/>
              </w:rPr>
              <w:t>494.713,00</w:t>
            </w:r>
          </w:p>
        </w:tc>
        <w:tc>
          <w:tcPr>
            <w:tcW w:w="1492" w:type="dxa"/>
            <w:tcBorders>
              <w:top w:val="single" w:sz="4" w:space="0" w:color="000000"/>
              <w:left w:val="single" w:sz="4" w:space="0" w:color="000000"/>
              <w:bottom w:val="single" w:sz="4" w:space="0" w:color="000000"/>
              <w:right w:val="single" w:sz="4" w:space="0" w:color="000000"/>
            </w:tcBorders>
          </w:tcPr>
          <w:p w14:paraId="16180500" w14:textId="77777777" w:rsidR="00AB3BCE" w:rsidRPr="00556822" w:rsidRDefault="00556822">
            <w:pPr>
              <w:spacing w:after="0" w:line="259" w:lineRule="auto"/>
              <w:ind w:left="0" w:right="85" w:firstLine="0"/>
              <w:jc w:val="right"/>
              <w:rPr>
                <w:sz w:val="16"/>
                <w:szCs w:val="16"/>
              </w:rPr>
            </w:pPr>
            <w:r>
              <w:rPr>
                <w:sz w:val="16"/>
                <w:szCs w:val="16"/>
              </w:rPr>
              <w:t>-9.200,00</w:t>
            </w:r>
          </w:p>
        </w:tc>
        <w:tc>
          <w:tcPr>
            <w:tcW w:w="1604" w:type="dxa"/>
            <w:tcBorders>
              <w:top w:val="single" w:sz="4" w:space="0" w:color="000000"/>
              <w:left w:val="single" w:sz="4" w:space="0" w:color="000000"/>
              <w:bottom w:val="single" w:sz="4" w:space="0" w:color="000000"/>
              <w:right w:val="single" w:sz="4" w:space="0" w:color="000000"/>
            </w:tcBorders>
          </w:tcPr>
          <w:p w14:paraId="328496D6" w14:textId="77777777" w:rsidR="00AB3BCE" w:rsidRPr="00556822" w:rsidRDefault="00556822">
            <w:pPr>
              <w:spacing w:after="0" w:line="259" w:lineRule="auto"/>
              <w:ind w:left="0" w:right="83" w:firstLine="0"/>
              <w:jc w:val="right"/>
              <w:rPr>
                <w:sz w:val="16"/>
                <w:szCs w:val="16"/>
              </w:rPr>
            </w:pPr>
            <w:r>
              <w:rPr>
                <w:sz w:val="16"/>
                <w:szCs w:val="16"/>
              </w:rPr>
              <w:t>485.513,00</w:t>
            </w:r>
          </w:p>
        </w:tc>
        <w:tc>
          <w:tcPr>
            <w:tcW w:w="1023" w:type="dxa"/>
            <w:tcBorders>
              <w:top w:val="single" w:sz="4" w:space="0" w:color="000000"/>
              <w:left w:val="single" w:sz="4" w:space="0" w:color="000000"/>
              <w:bottom w:val="single" w:sz="4" w:space="0" w:color="000000"/>
              <w:right w:val="single" w:sz="4" w:space="0" w:color="000000"/>
            </w:tcBorders>
          </w:tcPr>
          <w:p w14:paraId="239B4E4F" w14:textId="77777777" w:rsidR="00AB3BCE" w:rsidRPr="00556822" w:rsidRDefault="00316730">
            <w:pPr>
              <w:spacing w:after="0" w:line="259" w:lineRule="auto"/>
              <w:ind w:left="107" w:right="0" w:firstLine="0"/>
              <w:jc w:val="left"/>
            </w:pPr>
            <w:r>
              <w:rPr>
                <w:sz w:val="14"/>
              </w:rPr>
              <w:t>98</w:t>
            </w:r>
            <w:r w:rsidR="00AB3BCE" w:rsidRPr="00556822">
              <w:rPr>
                <w:sz w:val="14"/>
              </w:rPr>
              <w:t xml:space="preserve"> </w:t>
            </w:r>
          </w:p>
        </w:tc>
      </w:tr>
      <w:tr w:rsidR="00AB3BCE" w14:paraId="0F9424BA" w14:textId="77777777" w:rsidTr="00AB3BCE">
        <w:trPr>
          <w:trHeight w:val="252"/>
        </w:trPr>
        <w:tc>
          <w:tcPr>
            <w:tcW w:w="2541" w:type="dxa"/>
            <w:tcBorders>
              <w:top w:val="single" w:sz="4" w:space="0" w:color="000000"/>
              <w:left w:val="single" w:sz="4" w:space="0" w:color="000000"/>
              <w:bottom w:val="single" w:sz="4" w:space="0" w:color="000000"/>
              <w:right w:val="single" w:sz="4" w:space="0" w:color="000000"/>
            </w:tcBorders>
          </w:tcPr>
          <w:p w14:paraId="6AD9E3A9" w14:textId="77777777" w:rsidR="00AB3BCE" w:rsidRDefault="00AB3BCE">
            <w:pPr>
              <w:spacing w:after="0" w:line="259" w:lineRule="auto"/>
              <w:ind w:left="0" w:right="0" w:firstLine="0"/>
              <w:jc w:val="left"/>
            </w:pPr>
            <w:r>
              <w:rPr>
                <w:sz w:val="14"/>
              </w:rPr>
              <w:t xml:space="preserve">Rashodi za nabavu nef. Imovine (4)  </w:t>
            </w:r>
          </w:p>
        </w:tc>
        <w:tc>
          <w:tcPr>
            <w:tcW w:w="1428" w:type="dxa"/>
            <w:tcBorders>
              <w:top w:val="single" w:sz="4" w:space="0" w:color="000000"/>
              <w:left w:val="single" w:sz="4" w:space="0" w:color="000000"/>
              <w:bottom w:val="single" w:sz="4" w:space="0" w:color="000000"/>
              <w:right w:val="single" w:sz="4" w:space="0" w:color="000000"/>
            </w:tcBorders>
          </w:tcPr>
          <w:p w14:paraId="43FFA9B4" w14:textId="77777777" w:rsidR="00AB3BCE" w:rsidRDefault="00AB3BCE">
            <w:pPr>
              <w:spacing w:after="0" w:line="259" w:lineRule="auto"/>
              <w:ind w:left="0" w:right="81" w:firstLine="0"/>
              <w:jc w:val="right"/>
            </w:pPr>
            <w:r>
              <w:rPr>
                <w:sz w:val="14"/>
              </w:rPr>
              <w:t xml:space="preserve">3.343.370,00  </w:t>
            </w:r>
          </w:p>
        </w:tc>
        <w:tc>
          <w:tcPr>
            <w:tcW w:w="1205" w:type="dxa"/>
            <w:tcBorders>
              <w:top w:val="single" w:sz="4" w:space="0" w:color="000000"/>
              <w:left w:val="single" w:sz="4" w:space="0" w:color="000000"/>
              <w:bottom w:val="single" w:sz="4" w:space="0" w:color="000000"/>
              <w:right w:val="single" w:sz="4" w:space="0" w:color="000000"/>
            </w:tcBorders>
          </w:tcPr>
          <w:p w14:paraId="421E3A07" w14:textId="77777777" w:rsidR="00AB3BCE" w:rsidRDefault="001223E3">
            <w:pPr>
              <w:spacing w:after="0" w:line="259" w:lineRule="auto"/>
              <w:ind w:left="0" w:right="83" w:firstLine="0"/>
              <w:jc w:val="right"/>
              <w:rPr>
                <w:sz w:val="14"/>
              </w:rPr>
            </w:pPr>
            <w:r>
              <w:rPr>
                <w:sz w:val="14"/>
              </w:rPr>
              <w:t>3.062.664,00</w:t>
            </w:r>
          </w:p>
        </w:tc>
        <w:tc>
          <w:tcPr>
            <w:tcW w:w="1492" w:type="dxa"/>
            <w:tcBorders>
              <w:top w:val="single" w:sz="4" w:space="0" w:color="000000"/>
              <w:left w:val="single" w:sz="4" w:space="0" w:color="000000"/>
              <w:bottom w:val="single" w:sz="4" w:space="0" w:color="000000"/>
              <w:right w:val="single" w:sz="4" w:space="0" w:color="000000"/>
            </w:tcBorders>
          </w:tcPr>
          <w:p w14:paraId="1CA4FE01" w14:textId="77777777" w:rsidR="00AB3BCE" w:rsidRPr="00556822" w:rsidRDefault="00556822">
            <w:pPr>
              <w:spacing w:after="0" w:line="259" w:lineRule="auto"/>
              <w:ind w:left="0" w:right="83" w:firstLine="0"/>
              <w:jc w:val="right"/>
              <w:rPr>
                <w:sz w:val="16"/>
                <w:szCs w:val="16"/>
              </w:rPr>
            </w:pPr>
            <w:r>
              <w:rPr>
                <w:sz w:val="16"/>
                <w:szCs w:val="16"/>
              </w:rPr>
              <w:t>-586.300,00</w:t>
            </w:r>
          </w:p>
        </w:tc>
        <w:tc>
          <w:tcPr>
            <w:tcW w:w="1604" w:type="dxa"/>
            <w:tcBorders>
              <w:top w:val="single" w:sz="4" w:space="0" w:color="000000"/>
              <w:left w:val="single" w:sz="4" w:space="0" w:color="000000"/>
              <w:bottom w:val="single" w:sz="4" w:space="0" w:color="000000"/>
              <w:right w:val="single" w:sz="4" w:space="0" w:color="000000"/>
            </w:tcBorders>
          </w:tcPr>
          <w:p w14:paraId="00B12F94" w14:textId="77777777" w:rsidR="00AB3BCE" w:rsidRPr="00556822" w:rsidRDefault="00556822">
            <w:pPr>
              <w:spacing w:after="0" w:line="259" w:lineRule="auto"/>
              <w:ind w:left="0" w:right="83" w:firstLine="0"/>
              <w:jc w:val="right"/>
              <w:rPr>
                <w:sz w:val="16"/>
                <w:szCs w:val="16"/>
              </w:rPr>
            </w:pPr>
            <w:r>
              <w:rPr>
                <w:sz w:val="16"/>
                <w:szCs w:val="16"/>
              </w:rPr>
              <w:t>2.476.364,00</w:t>
            </w:r>
          </w:p>
        </w:tc>
        <w:tc>
          <w:tcPr>
            <w:tcW w:w="1023" w:type="dxa"/>
            <w:tcBorders>
              <w:top w:val="single" w:sz="4" w:space="0" w:color="000000"/>
              <w:left w:val="single" w:sz="4" w:space="0" w:color="000000"/>
              <w:bottom w:val="single" w:sz="4" w:space="0" w:color="000000"/>
              <w:right w:val="single" w:sz="4" w:space="0" w:color="000000"/>
            </w:tcBorders>
          </w:tcPr>
          <w:p w14:paraId="287AF19F" w14:textId="77777777" w:rsidR="00AB3BCE" w:rsidRPr="00556822" w:rsidRDefault="00316730">
            <w:pPr>
              <w:spacing w:after="0" w:line="259" w:lineRule="auto"/>
              <w:ind w:left="136" w:right="0" w:firstLine="0"/>
              <w:jc w:val="left"/>
            </w:pPr>
            <w:r>
              <w:rPr>
                <w:sz w:val="14"/>
              </w:rPr>
              <w:t>81</w:t>
            </w:r>
            <w:r w:rsidR="00AB3BCE" w:rsidRPr="00556822">
              <w:rPr>
                <w:sz w:val="14"/>
              </w:rPr>
              <w:t xml:space="preserve">  </w:t>
            </w:r>
          </w:p>
        </w:tc>
      </w:tr>
      <w:tr w:rsidR="00AB3BCE" w14:paraId="0F27884C" w14:textId="77777777" w:rsidTr="00AB3BCE">
        <w:trPr>
          <w:trHeight w:val="413"/>
        </w:trPr>
        <w:tc>
          <w:tcPr>
            <w:tcW w:w="2541" w:type="dxa"/>
            <w:tcBorders>
              <w:top w:val="single" w:sz="4" w:space="0" w:color="000000"/>
              <w:left w:val="single" w:sz="4" w:space="0" w:color="000000"/>
              <w:bottom w:val="single" w:sz="4" w:space="0" w:color="000000"/>
              <w:right w:val="single" w:sz="4" w:space="0" w:color="000000"/>
            </w:tcBorders>
          </w:tcPr>
          <w:p w14:paraId="4151A8E2" w14:textId="77777777" w:rsidR="00AB3BCE" w:rsidRDefault="00AB3BCE">
            <w:pPr>
              <w:spacing w:after="0" w:line="259" w:lineRule="auto"/>
              <w:ind w:right="0"/>
            </w:pPr>
            <w:r>
              <w:rPr>
                <w:sz w:val="14"/>
              </w:rPr>
              <w:t xml:space="preserve">Izdaci za otplatu glavnice primljenih kredita i zajmova (5)  </w:t>
            </w:r>
          </w:p>
        </w:tc>
        <w:tc>
          <w:tcPr>
            <w:tcW w:w="1428" w:type="dxa"/>
            <w:tcBorders>
              <w:top w:val="single" w:sz="4" w:space="0" w:color="000000"/>
              <w:left w:val="single" w:sz="4" w:space="0" w:color="000000"/>
              <w:bottom w:val="single" w:sz="4" w:space="0" w:color="000000"/>
              <w:right w:val="single" w:sz="4" w:space="0" w:color="000000"/>
            </w:tcBorders>
            <w:vAlign w:val="center"/>
          </w:tcPr>
          <w:p w14:paraId="74C8B5DC" w14:textId="77777777" w:rsidR="00AB3BCE" w:rsidRDefault="00AB3BCE">
            <w:pPr>
              <w:spacing w:after="0" w:line="259" w:lineRule="auto"/>
              <w:ind w:left="0" w:right="81" w:firstLine="0"/>
              <w:jc w:val="right"/>
            </w:pPr>
            <w:r>
              <w:rPr>
                <w:sz w:val="14"/>
              </w:rPr>
              <w:t xml:space="preserve">222.578,00  </w:t>
            </w:r>
          </w:p>
        </w:tc>
        <w:tc>
          <w:tcPr>
            <w:tcW w:w="1205" w:type="dxa"/>
            <w:tcBorders>
              <w:top w:val="single" w:sz="4" w:space="0" w:color="000000"/>
              <w:left w:val="single" w:sz="4" w:space="0" w:color="000000"/>
              <w:bottom w:val="single" w:sz="4" w:space="0" w:color="000000"/>
              <w:right w:val="single" w:sz="4" w:space="0" w:color="000000"/>
            </w:tcBorders>
          </w:tcPr>
          <w:p w14:paraId="52F5B3A7" w14:textId="77777777" w:rsidR="00AB3BCE" w:rsidRDefault="001223E3">
            <w:pPr>
              <w:spacing w:after="0" w:line="259" w:lineRule="auto"/>
              <w:ind w:left="0" w:right="83" w:firstLine="0"/>
              <w:jc w:val="right"/>
              <w:rPr>
                <w:sz w:val="14"/>
              </w:rPr>
            </w:pPr>
            <w:r>
              <w:rPr>
                <w:sz w:val="14"/>
              </w:rPr>
              <w:t>238.002,00</w:t>
            </w:r>
          </w:p>
        </w:tc>
        <w:tc>
          <w:tcPr>
            <w:tcW w:w="1492" w:type="dxa"/>
            <w:tcBorders>
              <w:top w:val="single" w:sz="4" w:space="0" w:color="000000"/>
              <w:left w:val="single" w:sz="4" w:space="0" w:color="000000"/>
              <w:bottom w:val="single" w:sz="4" w:space="0" w:color="000000"/>
              <w:right w:val="single" w:sz="4" w:space="0" w:color="000000"/>
            </w:tcBorders>
            <w:vAlign w:val="center"/>
          </w:tcPr>
          <w:p w14:paraId="36F9FBE3" w14:textId="77777777" w:rsidR="00AB3BCE" w:rsidRPr="00556822" w:rsidRDefault="00556822">
            <w:pPr>
              <w:spacing w:after="0" w:line="259" w:lineRule="auto"/>
              <w:ind w:left="0" w:right="83" w:firstLine="0"/>
              <w:jc w:val="right"/>
              <w:rPr>
                <w:sz w:val="16"/>
                <w:szCs w:val="16"/>
              </w:rPr>
            </w:pPr>
            <w:r>
              <w:rPr>
                <w:sz w:val="16"/>
                <w:szCs w:val="16"/>
              </w:rPr>
              <w:t>0,00</w:t>
            </w:r>
          </w:p>
        </w:tc>
        <w:tc>
          <w:tcPr>
            <w:tcW w:w="1604" w:type="dxa"/>
            <w:tcBorders>
              <w:top w:val="single" w:sz="4" w:space="0" w:color="000000"/>
              <w:left w:val="single" w:sz="4" w:space="0" w:color="000000"/>
              <w:bottom w:val="single" w:sz="4" w:space="0" w:color="000000"/>
              <w:right w:val="single" w:sz="4" w:space="0" w:color="000000"/>
            </w:tcBorders>
            <w:vAlign w:val="center"/>
          </w:tcPr>
          <w:p w14:paraId="2F4114B9" w14:textId="77777777" w:rsidR="00AB3BCE" w:rsidRPr="00556822" w:rsidRDefault="00556822">
            <w:pPr>
              <w:spacing w:after="0" w:line="259" w:lineRule="auto"/>
              <w:ind w:left="0" w:right="83" w:firstLine="0"/>
              <w:jc w:val="right"/>
              <w:rPr>
                <w:sz w:val="16"/>
                <w:szCs w:val="16"/>
              </w:rPr>
            </w:pPr>
            <w:r>
              <w:rPr>
                <w:sz w:val="16"/>
                <w:szCs w:val="16"/>
              </w:rPr>
              <w:t>238.002,00</w:t>
            </w:r>
          </w:p>
        </w:tc>
        <w:tc>
          <w:tcPr>
            <w:tcW w:w="1023" w:type="dxa"/>
            <w:tcBorders>
              <w:top w:val="single" w:sz="4" w:space="0" w:color="000000"/>
              <w:left w:val="single" w:sz="4" w:space="0" w:color="000000"/>
              <w:bottom w:val="single" w:sz="4" w:space="0" w:color="000000"/>
              <w:right w:val="single" w:sz="4" w:space="0" w:color="000000"/>
            </w:tcBorders>
            <w:vAlign w:val="center"/>
          </w:tcPr>
          <w:p w14:paraId="6EC4CE34" w14:textId="77777777" w:rsidR="00AB3BCE" w:rsidRPr="00556822" w:rsidRDefault="00316730">
            <w:pPr>
              <w:spacing w:after="0" w:line="259" w:lineRule="auto"/>
              <w:ind w:left="98" w:right="0" w:firstLine="0"/>
              <w:jc w:val="left"/>
            </w:pPr>
            <w:r>
              <w:rPr>
                <w:sz w:val="14"/>
              </w:rPr>
              <w:t>100</w:t>
            </w:r>
          </w:p>
        </w:tc>
      </w:tr>
      <w:tr w:rsidR="00AB3BCE" w14:paraId="36E3E591" w14:textId="77777777" w:rsidTr="00AB3BCE">
        <w:trPr>
          <w:trHeight w:val="280"/>
        </w:trPr>
        <w:tc>
          <w:tcPr>
            <w:tcW w:w="2541" w:type="dxa"/>
            <w:tcBorders>
              <w:top w:val="single" w:sz="4" w:space="0" w:color="000000"/>
              <w:left w:val="single" w:sz="4" w:space="0" w:color="000000"/>
              <w:bottom w:val="single" w:sz="4" w:space="0" w:color="000000"/>
              <w:right w:val="single" w:sz="4" w:space="0" w:color="000000"/>
            </w:tcBorders>
            <w:shd w:val="clear" w:color="auto" w:fill="D9E2F3"/>
          </w:tcPr>
          <w:p w14:paraId="7AA47232" w14:textId="77777777" w:rsidR="00AB3BCE" w:rsidRDefault="00AB3BCE">
            <w:pPr>
              <w:spacing w:after="0" w:line="259" w:lineRule="auto"/>
              <w:ind w:left="0" w:right="86" w:firstLine="0"/>
              <w:jc w:val="center"/>
            </w:pPr>
            <w:r>
              <w:rPr>
                <w:b/>
                <w:sz w:val="14"/>
              </w:rPr>
              <w:t xml:space="preserve">UKUPNO </w:t>
            </w:r>
            <w:r>
              <w:rPr>
                <w:sz w:val="14"/>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D9E2F3"/>
          </w:tcPr>
          <w:p w14:paraId="11BDD6E9" w14:textId="77777777" w:rsidR="00AB3BCE" w:rsidRDefault="00AB3BCE">
            <w:pPr>
              <w:spacing w:after="0" w:line="259" w:lineRule="auto"/>
              <w:ind w:left="0" w:right="79" w:firstLine="0"/>
              <w:jc w:val="right"/>
            </w:pPr>
            <w:r>
              <w:rPr>
                <w:b/>
                <w:sz w:val="14"/>
              </w:rPr>
              <w:t>6.463.000,00</w:t>
            </w:r>
            <w:r>
              <w:rPr>
                <w:sz w:val="14"/>
              </w:rPr>
              <w:t xml:space="preserve">  </w:t>
            </w:r>
          </w:p>
        </w:tc>
        <w:tc>
          <w:tcPr>
            <w:tcW w:w="1205" w:type="dxa"/>
            <w:tcBorders>
              <w:top w:val="single" w:sz="4" w:space="0" w:color="000000"/>
              <w:left w:val="single" w:sz="4" w:space="0" w:color="000000"/>
              <w:bottom w:val="single" w:sz="4" w:space="0" w:color="000000"/>
              <w:right w:val="single" w:sz="4" w:space="0" w:color="000000"/>
            </w:tcBorders>
            <w:shd w:val="clear" w:color="auto" w:fill="D9E2F3"/>
          </w:tcPr>
          <w:p w14:paraId="3AEA6E1B" w14:textId="77777777" w:rsidR="00AB3BCE" w:rsidRDefault="001223E3">
            <w:pPr>
              <w:spacing w:after="0" w:line="259" w:lineRule="auto"/>
              <w:ind w:left="0" w:right="83" w:firstLine="0"/>
              <w:jc w:val="right"/>
              <w:rPr>
                <w:b/>
                <w:sz w:val="14"/>
              </w:rPr>
            </w:pPr>
            <w:r>
              <w:rPr>
                <w:sz w:val="14"/>
              </w:rPr>
              <w:t>6.</w:t>
            </w:r>
            <w:r w:rsidR="00556822">
              <w:rPr>
                <w:sz w:val="14"/>
              </w:rPr>
              <w:t>528</w:t>
            </w:r>
            <w:r>
              <w:rPr>
                <w:sz w:val="14"/>
              </w:rPr>
              <w:t>.500,00</w:t>
            </w:r>
          </w:p>
        </w:tc>
        <w:tc>
          <w:tcPr>
            <w:tcW w:w="1492" w:type="dxa"/>
            <w:tcBorders>
              <w:top w:val="single" w:sz="4" w:space="0" w:color="000000"/>
              <w:left w:val="single" w:sz="4" w:space="0" w:color="000000"/>
              <w:bottom w:val="single" w:sz="4" w:space="0" w:color="000000"/>
              <w:right w:val="single" w:sz="4" w:space="0" w:color="000000"/>
            </w:tcBorders>
            <w:shd w:val="clear" w:color="auto" w:fill="D9E2F3"/>
          </w:tcPr>
          <w:p w14:paraId="4E8EC3E5" w14:textId="77777777" w:rsidR="00AB3BCE" w:rsidRPr="00556822" w:rsidRDefault="00556822">
            <w:pPr>
              <w:spacing w:after="0" w:line="259" w:lineRule="auto"/>
              <w:ind w:left="0" w:right="83" w:firstLine="0"/>
              <w:jc w:val="right"/>
              <w:rPr>
                <w:sz w:val="16"/>
                <w:szCs w:val="16"/>
              </w:rPr>
            </w:pPr>
            <w:r>
              <w:rPr>
                <w:sz w:val="16"/>
                <w:szCs w:val="16"/>
              </w:rPr>
              <w:t>-556.500,00</w:t>
            </w:r>
          </w:p>
        </w:tc>
        <w:tc>
          <w:tcPr>
            <w:tcW w:w="1604" w:type="dxa"/>
            <w:tcBorders>
              <w:top w:val="single" w:sz="4" w:space="0" w:color="000000"/>
              <w:left w:val="single" w:sz="4" w:space="0" w:color="000000"/>
              <w:bottom w:val="single" w:sz="4" w:space="0" w:color="000000"/>
              <w:right w:val="single" w:sz="4" w:space="0" w:color="000000"/>
            </w:tcBorders>
            <w:shd w:val="clear" w:color="auto" w:fill="D9E2F3"/>
          </w:tcPr>
          <w:p w14:paraId="55FE09F9" w14:textId="77777777" w:rsidR="00AB3BCE" w:rsidRPr="00556822" w:rsidRDefault="00556822">
            <w:pPr>
              <w:spacing w:after="0" w:line="259" w:lineRule="auto"/>
              <w:ind w:left="0" w:right="83" w:firstLine="0"/>
              <w:jc w:val="right"/>
              <w:rPr>
                <w:sz w:val="16"/>
                <w:szCs w:val="16"/>
              </w:rPr>
            </w:pPr>
            <w:r>
              <w:rPr>
                <w:sz w:val="16"/>
                <w:szCs w:val="16"/>
              </w:rPr>
              <w:t>5.972.000,00</w:t>
            </w:r>
          </w:p>
        </w:tc>
        <w:tc>
          <w:tcPr>
            <w:tcW w:w="1023" w:type="dxa"/>
            <w:tcBorders>
              <w:top w:val="single" w:sz="4" w:space="0" w:color="000000"/>
              <w:left w:val="single" w:sz="4" w:space="0" w:color="000000"/>
              <w:bottom w:val="single" w:sz="4" w:space="0" w:color="000000"/>
              <w:right w:val="single" w:sz="4" w:space="0" w:color="000000"/>
            </w:tcBorders>
            <w:shd w:val="clear" w:color="auto" w:fill="D9E2F3"/>
          </w:tcPr>
          <w:p w14:paraId="0DD170DF" w14:textId="77777777" w:rsidR="00AB3BCE" w:rsidRPr="00556822" w:rsidRDefault="00316730">
            <w:pPr>
              <w:spacing w:after="0" w:line="259" w:lineRule="auto"/>
              <w:ind w:left="98" w:right="0" w:firstLine="0"/>
              <w:jc w:val="left"/>
            </w:pPr>
            <w:r>
              <w:rPr>
                <w:sz w:val="14"/>
              </w:rPr>
              <w:t>91</w:t>
            </w:r>
            <w:r w:rsidR="00AB3BCE" w:rsidRPr="00556822">
              <w:rPr>
                <w:sz w:val="14"/>
              </w:rPr>
              <w:t xml:space="preserve"> </w:t>
            </w:r>
          </w:p>
        </w:tc>
      </w:tr>
    </w:tbl>
    <w:p w14:paraId="5FEABB3F" w14:textId="77777777" w:rsidR="00D26CC9" w:rsidRDefault="00000000">
      <w:pPr>
        <w:spacing w:after="141" w:line="259" w:lineRule="auto"/>
        <w:ind w:left="0" w:right="0" w:firstLine="0"/>
        <w:jc w:val="left"/>
      </w:pPr>
      <w:r>
        <w:rPr>
          <w:b/>
          <w:color w:val="C00000"/>
        </w:rPr>
        <w:t xml:space="preserve"> </w:t>
      </w:r>
    </w:p>
    <w:p w14:paraId="4B1E5C58" w14:textId="77777777" w:rsidR="00D26CC9" w:rsidRDefault="00000000">
      <w:pPr>
        <w:spacing w:after="0" w:line="259" w:lineRule="auto"/>
        <w:ind w:left="0" w:right="0" w:firstLine="0"/>
        <w:jc w:val="left"/>
      </w:pPr>
      <w:r>
        <w:rPr>
          <w:b/>
          <w:color w:val="C00000"/>
        </w:rPr>
        <w:t xml:space="preserve">Grafikon 2. </w:t>
      </w:r>
      <w:r>
        <w:rPr>
          <w:rFonts w:ascii="Calibri" w:eastAsia="Calibri" w:hAnsi="Calibri" w:cs="Calibri"/>
          <w:color w:val="C00000"/>
        </w:rPr>
        <w:t xml:space="preserve"> </w:t>
      </w:r>
    </w:p>
    <w:p w14:paraId="66C96A7E" w14:textId="77777777" w:rsidR="00D26CC9" w:rsidRDefault="00556822">
      <w:pPr>
        <w:spacing w:after="205" w:line="259" w:lineRule="auto"/>
        <w:ind w:left="1544" w:right="0" w:firstLine="0"/>
        <w:jc w:val="left"/>
      </w:pPr>
      <w:r>
        <w:rPr>
          <w:noProof/>
        </w:rPr>
        <w:drawing>
          <wp:inline distT="0" distB="0" distL="0" distR="0" wp14:anchorId="7440BA2D" wp14:editId="72335232">
            <wp:extent cx="4541520" cy="2202180"/>
            <wp:effectExtent l="0" t="0" r="11430" b="7620"/>
            <wp:docPr id="337534982" name="Grafikon 1">
              <a:extLst xmlns:a="http://schemas.openxmlformats.org/drawingml/2006/main">
                <a:ext uri="{FF2B5EF4-FFF2-40B4-BE49-F238E27FC236}">
                  <a16:creationId xmlns:a16="http://schemas.microsoft.com/office/drawing/2014/main" id="{131B40E1-37DA-E6A8-6F89-F50606E246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074B66" w14:textId="77777777" w:rsidR="00D26CC9" w:rsidRDefault="00000000">
      <w:pPr>
        <w:ind w:left="5" w:right="0"/>
      </w:pPr>
      <w:r>
        <w:t xml:space="preserve">Izvor: Proračun Općine Jelenje </w:t>
      </w:r>
      <w:r>
        <w:rPr>
          <w:rFonts w:ascii="Calibri" w:eastAsia="Calibri" w:hAnsi="Calibri" w:cs="Calibri"/>
        </w:rPr>
        <w:t xml:space="preserve"> </w:t>
      </w:r>
    </w:p>
    <w:p w14:paraId="2AE469EA" w14:textId="77777777" w:rsidR="00D26CC9" w:rsidRDefault="00000000" w:rsidP="003C3443">
      <w:pPr>
        <w:ind w:left="5" w:right="0"/>
      </w:pPr>
      <w:r>
        <w:t xml:space="preserve">Ovim Izmjenama i dopunama Proračuna za 2024. godinu </w:t>
      </w:r>
      <w:r w:rsidRPr="0085312F">
        <w:t xml:space="preserve">smanjeni su Rashodi za nabavu nefinancijske imovinu za </w:t>
      </w:r>
      <w:r w:rsidR="001F4CF2" w:rsidRPr="0085312F">
        <w:t>19</w:t>
      </w:r>
      <w:r w:rsidR="00630D0F">
        <w:t>,1</w:t>
      </w:r>
      <w:r w:rsidRPr="0085312F">
        <w:t>%</w:t>
      </w:r>
      <w:r w:rsidR="00D3142C" w:rsidRPr="0085312F">
        <w:t xml:space="preserve"> najviše</w:t>
      </w:r>
      <w:r w:rsidRPr="0085312F">
        <w:t xml:space="preserve"> </w:t>
      </w:r>
      <w:r w:rsidR="00D3142C" w:rsidRPr="0085312F">
        <w:t xml:space="preserve">kod Programa Upravljanje imovinom </w:t>
      </w:r>
      <w:r w:rsidR="003C3443" w:rsidRPr="0085312F">
        <w:t xml:space="preserve">(zbog privremenog odustajanja od realizacije dijela projekata odnosno pomicanja rokova najavljenih natječaja za financiranje projekata) </w:t>
      </w:r>
      <w:r w:rsidR="00D3142C" w:rsidRPr="0085312F">
        <w:t>potom kod Prostornog uređenja i unapređenja</w:t>
      </w:r>
      <w:r w:rsidR="00D3142C">
        <w:t xml:space="preserve"> stanovanja </w:t>
      </w:r>
      <w:r w:rsidR="003C3443">
        <w:t xml:space="preserve">(ne realizirane </w:t>
      </w:r>
      <w:r w:rsidR="003C3443" w:rsidRPr="003C3443">
        <w:t>planirane transformacije prostornih planova odnosno izrade VI. izmjena i dopuna prostornog plana, II. Izmjena i dopuna DPU zone poslovne namjene K1-1 Podhum kao i ukidanja DPU),</w:t>
      </w:r>
      <w:r w:rsidR="003C3443">
        <w:t xml:space="preserve"> </w:t>
      </w:r>
      <w:r w:rsidR="00D3142C">
        <w:t xml:space="preserve">te Razvojnog programa (odustajanje od izrade programa IT tehnologije i Sektorske strategije razvoja energetike).  </w:t>
      </w:r>
      <w:r>
        <w:t xml:space="preserve">dok su Rashodi poslovanja porasli za </w:t>
      </w:r>
      <w:r w:rsidR="001F4CF2">
        <w:t>neznatnih 0</w:t>
      </w:r>
      <w:r>
        <w:t>,</w:t>
      </w:r>
      <w:r w:rsidR="001F4CF2">
        <w:t>9</w:t>
      </w:r>
      <w:r>
        <w:t>%</w:t>
      </w:r>
      <w:r w:rsidR="001F4CF2">
        <w:t>.</w:t>
      </w:r>
    </w:p>
    <w:p w14:paraId="17BFF207" w14:textId="77777777" w:rsidR="00D26CC9" w:rsidRDefault="00000000">
      <w:pPr>
        <w:ind w:left="5" w:right="0"/>
      </w:pPr>
      <w:r>
        <w:t xml:space="preserve">Unutar skupine rashoda poslovanja došlo je do slijedećih izmjena:  </w:t>
      </w:r>
    </w:p>
    <w:p w14:paraId="39B4BCFA" w14:textId="77777777" w:rsidR="00D26CC9" w:rsidRDefault="00000000">
      <w:pPr>
        <w:spacing w:after="161"/>
        <w:ind w:left="5" w:right="0"/>
      </w:pPr>
      <w:r>
        <w:t>Povećani su:</w:t>
      </w:r>
      <w:r>
        <w:rPr>
          <w:rFonts w:ascii="Calibri" w:eastAsia="Calibri" w:hAnsi="Calibri" w:cs="Calibri"/>
        </w:rPr>
        <w:t xml:space="preserve"> </w:t>
      </w:r>
    </w:p>
    <w:p w14:paraId="65C292C4" w14:textId="77777777" w:rsidR="00D26CC9" w:rsidRDefault="00000000">
      <w:pPr>
        <w:numPr>
          <w:ilvl w:val="0"/>
          <w:numId w:val="5"/>
        </w:numPr>
        <w:spacing w:after="160"/>
        <w:ind w:right="0" w:hanging="329"/>
      </w:pPr>
      <w:r>
        <w:lastRenderedPageBreak/>
        <w:t xml:space="preserve">materijalni rashodi (32) za </w:t>
      </w:r>
      <w:r w:rsidR="008F6CE3">
        <w:t>4</w:t>
      </w:r>
      <w:r>
        <w:t>,</w:t>
      </w:r>
      <w:r w:rsidR="008F6CE3">
        <w:t>4</w:t>
      </w:r>
      <w:r>
        <w:t xml:space="preserve">% </w:t>
      </w:r>
      <w:r w:rsidR="008F6CE3" w:rsidRPr="008F6CE3">
        <w:rPr>
          <w:rFonts w:eastAsia="Calibri"/>
        </w:rPr>
        <w:t>(rashodi za materijal i energiju</w:t>
      </w:r>
      <w:r w:rsidR="008F6CE3">
        <w:rPr>
          <w:rFonts w:eastAsia="Calibri"/>
        </w:rPr>
        <w:t>, rashodi za usluge, članarine i sl.</w:t>
      </w:r>
      <w:r w:rsidR="008F6CE3" w:rsidRPr="008F6CE3">
        <w:rPr>
          <w:rFonts w:eastAsia="Calibri"/>
        </w:rPr>
        <w:t>)</w:t>
      </w:r>
    </w:p>
    <w:p w14:paraId="74856222" w14:textId="77777777" w:rsidR="00D26CC9" w:rsidRDefault="00000000">
      <w:pPr>
        <w:numPr>
          <w:ilvl w:val="0"/>
          <w:numId w:val="5"/>
        </w:numPr>
        <w:spacing w:after="162"/>
        <w:ind w:right="0" w:hanging="329"/>
      </w:pPr>
      <w:r>
        <w:t xml:space="preserve">financijski rashodi (34) za </w:t>
      </w:r>
      <w:r w:rsidR="008F6CE3">
        <w:t>1</w:t>
      </w:r>
      <w:r>
        <w:t>,</w:t>
      </w:r>
      <w:r w:rsidR="008F6CE3">
        <w:t>6</w:t>
      </w:r>
      <w:r>
        <w:t>% (</w:t>
      </w:r>
      <w:r w:rsidR="008F6CE3">
        <w:t>bankarske usluge i usluge platnog prometa</w:t>
      </w:r>
      <w:r>
        <w:t>)</w:t>
      </w:r>
      <w:r>
        <w:rPr>
          <w:rFonts w:ascii="Calibri" w:eastAsia="Calibri" w:hAnsi="Calibri" w:cs="Calibri"/>
        </w:rPr>
        <w:t xml:space="preserve"> </w:t>
      </w:r>
    </w:p>
    <w:p w14:paraId="3C12B900" w14:textId="77777777" w:rsidR="00D26CC9" w:rsidRDefault="00000000">
      <w:pPr>
        <w:spacing w:after="165"/>
        <w:ind w:left="5" w:right="0"/>
      </w:pPr>
      <w:r>
        <w:t>dok su smanjen</w:t>
      </w:r>
      <w:r w:rsidR="00E049D0">
        <w:t>i</w:t>
      </w:r>
      <w:r>
        <w:t xml:space="preserve">: </w:t>
      </w:r>
    </w:p>
    <w:p w14:paraId="354FF836" w14:textId="77777777" w:rsidR="008F6CE3" w:rsidRDefault="008F6CE3" w:rsidP="008F6CE3">
      <w:pPr>
        <w:numPr>
          <w:ilvl w:val="0"/>
          <w:numId w:val="5"/>
        </w:numPr>
        <w:spacing w:after="157"/>
        <w:ind w:right="0" w:hanging="329"/>
      </w:pPr>
      <w:r>
        <w:t xml:space="preserve">rashodi za zaposlene (31) za </w:t>
      </w:r>
      <w:r w:rsidR="00E049D0">
        <w:t>2</w:t>
      </w:r>
      <w:r>
        <w:t>,</w:t>
      </w:r>
      <w:r w:rsidR="00E049D0">
        <w:t>9</w:t>
      </w:r>
      <w:r>
        <w:t xml:space="preserve">% </w:t>
      </w:r>
      <w:r w:rsidR="00E049D0">
        <w:t xml:space="preserve">na ime projekta Zajedno u zlatnim godinama </w:t>
      </w:r>
      <w:r>
        <w:t xml:space="preserve">zbog </w:t>
      </w:r>
      <w:r w:rsidR="00E049D0">
        <w:t xml:space="preserve">pomaknutog početka pružanja pomoći korisnicima programa </w:t>
      </w:r>
      <w:r>
        <w:t xml:space="preserve"> </w:t>
      </w:r>
      <w:r>
        <w:rPr>
          <w:rFonts w:ascii="Calibri" w:eastAsia="Calibri" w:hAnsi="Calibri" w:cs="Calibri"/>
        </w:rPr>
        <w:t xml:space="preserve"> </w:t>
      </w:r>
    </w:p>
    <w:p w14:paraId="57F206D5" w14:textId="77777777" w:rsidR="008F6CE3" w:rsidRDefault="008F6CE3" w:rsidP="008F6CE3">
      <w:pPr>
        <w:numPr>
          <w:ilvl w:val="0"/>
          <w:numId w:val="5"/>
        </w:numPr>
        <w:spacing w:after="160"/>
        <w:ind w:right="0" w:hanging="329"/>
      </w:pPr>
      <w:r>
        <w:t xml:space="preserve">naknade građanima i kućanstvima na temelju osiguranja i dr. naknade (37) za </w:t>
      </w:r>
      <w:r w:rsidR="00E049D0">
        <w:t>0</w:t>
      </w:r>
      <w:r>
        <w:t>,</w:t>
      </w:r>
      <w:r w:rsidR="00E049D0">
        <w:t>8</w:t>
      </w:r>
      <w:r>
        <w:t>% (</w:t>
      </w:r>
      <w:r w:rsidR="00E049D0">
        <w:t>naknade građanima i kućanstvima u novcu – poklon bonovi prvašićima te naknade građanima i kućanstvima u naravi – kod projekta Zajedno u zlatnim godinama, zbog tehničkog preslagivanja pozicija i knjiženja prema dobivenim uputama</w:t>
      </w:r>
      <w:r>
        <w:rPr>
          <w:rFonts w:ascii="Calibri" w:eastAsia="Calibri" w:hAnsi="Calibri" w:cs="Calibri"/>
        </w:rPr>
        <w:t xml:space="preserve"> </w:t>
      </w:r>
    </w:p>
    <w:p w14:paraId="7AFD03B3" w14:textId="77777777" w:rsidR="008F6CE3" w:rsidRDefault="008F6CE3" w:rsidP="00E049D0">
      <w:pPr>
        <w:numPr>
          <w:ilvl w:val="0"/>
          <w:numId w:val="5"/>
        </w:numPr>
        <w:spacing w:after="9"/>
        <w:ind w:right="0" w:hanging="329"/>
      </w:pPr>
      <w:r>
        <w:t xml:space="preserve">ostali rashodi (38) za </w:t>
      </w:r>
      <w:r w:rsidR="00E049D0">
        <w:t>20</w:t>
      </w:r>
      <w:r>
        <w:t>,</w:t>
      </w:r>
      <w:r w:rsidR="00E049D0">
        <w:t>0</w:t>
      </w:r>
      <w:r>
        <w:t xml:space="preserve">% na ime </w:t>
      </w:r>
      <w:r w:rsidR="00E049D0">
        <w:t xml:space="preserve">smanjenja naknada šteta pravnim i fizičkim osobama </w:t>
      </w:r>
    </w:p>
    <w:p w14:paraId="5783E090" w14:textId="77777777" w:rsidR="000770D6" w:rsidRDefault="000770D6" w:rsidP="000770D6">
      <w:pPr>
        <w:spacing w:after="9"/>
        <w:ind w:left="329" w:right="0" w:firstLine="0"/>
      </w:pPr>
    </w:p>
    <w:p w14:paraId="794ADBEF" w14:textId="77777777" w:rsidR="00D26CC9" w:rsidRDefault="00000000">
      <w:pPr>
        <w:numPr>
          <w:ilvl w:val="0"/>
          <w:numId w:val="5"/>
        </w:numPr>
        <w:ind w:right="0" w:hanging="329"/>
      </w:pPr>
      <w:r>
        <w:t xml:space="preserve">rashodi za nabavu nefinancijske imovine (4) </w:t>
      </w:r>
      <w:r w:rsidR="000770D6">
        <w:t>19,1</w:t>
      </w:r>
      <w:r>
        <w:t xml:space="preserve">% i to Rashodi za dodatna ulaganja na nefinancijskoj imovini (45) – dodatna ulaganja na građevinskim objektima sveukupno smanjen </w:t>
      </w:r>
      <w:r w:rsidR="000770D6">
        <w:t>30,4</w:t>
      </w:r>
      <w:r>
        <w:t xml:space="preserve">% (npr. </w:t>
      </w:r>
      <w:r w:rsidRPr="0085312F">
        <w:t>P</w:t>
      </w:r>
      <w:r w:rsidR="003C3443" w:rsidRPr="0085312F">
        <w:t xml:space="preserve">roširenje zgrade vrtića, Postavljanje solarnih panela na javne zgrade, projekt uređenje doma kulture u Dražicama, </w:t>
      </w:r>
      <w:r w:rsidR="00C47C4F" w:rsidRPr="0085312F">
        <w:t xml:space="preserve">Prenamjene poslovne zgrade u Podhumu, Dogradnje drvarnice i uređenja okoliša Planinarskog doma Hahlić, Rekonstrukcija i prenamjena objekta stare škole u Trnovici u stambeni objekt) </w:t>
      </w:r>
      <w:r w:rsidR="000770D6" w:rsidRPr="0085312F">
        <w:t>a</w:t>
      </w:r>
      <w:r w:rsidRPr="0085312F">
        <w:t xml:space="preserve"> Rashodi</w:t>
      </w:r>
      <w:r>
        <w:t xml:space="preserve"> za nabavu proizvedene dugotrajne imovine (42) </w:t>
      </w:r>
      <w:r w:rsidR="000770D6">
        <w:t>za 5</w:t>
      </w:r>
      <w:r>
        <w:t>,</w:t>
      </w:r>
      <w:r w:rsidR="000770D6">
        <w:t>0</w:t>
      </w:r>
      <w:r>
        <w:t>% (</w:t>
      </w:r>
      <w:r w:rsidR="00C47C4F">
        <w:t>prostorni plan</w:t>
      </w:r>
      <w:r>
        <w:t>) što je u nastavku objašnjeno po projektima unutar pojedinih programa</w:t>
      </w:r>
      <w:r>
        <w:rPr>
          <w:rFonts w:ascii="Calibri" w:eastAsia="Calibri" w:hAnsi="Calibri" w:cs="Calibri"/>
        </w:rPr>
        <w:t xml:space="preserve"> </w:t>
      </w:r>
    </w:p>
    <w:p w14:paraId="47E4680B" w14:textId="77777777" w:rsidR="00D26CC9" w:rsidRDefault="00000000">
      <w:pPr>
        <w:spacing w:after="145" w:line="259" w:lineRule="auto"/>
        <w:ind w:left="104" w:right="0" w:firstLine="0"/>
        <w:jc w:val="center"/>
      </w:pPr>
      <w:r>
        <w:t xml:space="preserve"> </w:t>
      </w:r>
      <w:r>
        <w:rPr>
          <w:rFonts w:ascii="Calibri" w:eastAsia="Calibri" w:hAnsi="Calibri" w:cs="Calibri"/>
        </w:rPr>
        <w:t xml:space="preserve"> </w:t>
      </w:r>
    </w:p>
    <w:p w14:paraId="20785087" w14:textId="77777777" w:rsidR="00BF6ED8" w:rsidRPr="00630D0F" w:rsidRDefault="00BF6ED8" w:rsidP="00BF6ED8">
      <w:pPr>
        <w:spacing w:after="0" w:line="383" w:lineRule="auto"/>
        <w:ind w:left="-5" w:right="0"/>
      </w:pPr>
      <w:r w:rsidRPr="00630D0F">
        <w:rPr>
          <w:b/>
        </w:rPr>
        <w:t xml:space="preserve">III. OBRAZLOŽENJE IZMJENA I DOPUNA PLANIRANIH RASHODA PO PROGRAMSKOJ </w:t>
      </w:r>
      <w:r w:rsidRPr="00630D0F">
        <w:rPr>
          <w:rFonts w:ascii="Calibri" w:eastAsia="Calibri" w:hAnsi="Calibri" w:cs="Calibri"/>
        </w:rPr>
        <w:t xml:space="preserve"> </w:t>
      </w:r>
      <w:r w:rsidRPr="00630D0F">
        <w:rPr>
          <w:b/>
        </w:rPr>
        <w:t xml:space="preserve">KLASIFIKACIJI:  </w:t>
      </w:r>
      <w:r w:rsidRPr="00630D0F">
        <w:rPr>
          <w:rFonts w:ascii="Calibri" w:eastAsia="Calibri" w:hAnsi="Calibri" w:cs="Calibri"/>
        </w:rPr>
        <w:t xml:space="preserve"> </w:t>
      </w:r>
    </w:p>
    <w:p w14:paraId="42B61F6A" w14:textId="77777777" w:rsidR="00BF6ED8" w:rsidRPr="00630D0F" w:rsidRDefault="00BF6ED8" w:rsidP="00BF6ED8">
      <w:pPr>
        <w:spacing w:after="133" w:line="261" w:lineRule="auto"/>
        <w:ind w:left="-5" w:right="0"/>
      </w:pPr>
      <w:r w:rsidRPr="00630D0F">
        <w:rPr>
          <w:b/>
        </w:rPr>
        <w:t>PROGRAM – Donošenje akata i mjera iz djelokruga predstavničkog, izvršnog tijela i mjesne samouprave</w:t>
      </w:r>
      <w:r w:rsidRPr="00630D0F">
        <w:t xml:space="preserve"> povećava se za 7.285,00 eura.  </w:t>
      </w:r>
      <w:r w:rsidRPr="00630D0F">
        <w:rPr>
          <w:rFonts w:ascii="Calibri" w:eastAsia="Calibri" w:hAnsi="Calibri" w:cs="Calibri"/>
        </w:rPr>
        <w:t xml:space="preserve"> </w:t>
      </w:r>
    </w:p>
    <w:p w14:paraId="5FDFED36" w14:textId="77777777" w:rsidR="00BF6ED8" w:rsidRPr="00630D0F" w:rsidRDefault="00BF6ED8" w:rsidP="00BF6ED8">
      <w:pPr>
        <w:spacing w:after="9"/>
        <w:ind w:left="5" w:right="0"/>
      </w:pPr>
      <w:r w:rsidRPr="00630D0F">
        <w:t xml:space="preserve">Unutar navedenog programa, glava Načelnik, dolazi do povećanja u iznosu od 7.285,00 eura.  </w:t>
      </w:r>
    </w:p>
    <w:p w14:paraId="2C9C2A4D" w14:textId="77777777" w:rsidR="00BF6ED8" w:rsidRPr="00630D0F" w:rsidRDefault="00BF6ED8" w:rsidP="00BF6ED8">
      <w:pPr>
        <w:spacing w:after="162"/>
        <w:ind w:left="5" w:right="0"/>
      </w:pPr>
      <w:r w:rsidRPr="00630D0F">
        <w:t>Povećanje se odnosi na Aktivnost A100111 – Rashodi za zaposlene zbog izmjene Odluke o visini osnovice za obračun plaće državnih dužnosnika koja je donesena na sjednici Vlade 25. srpnja 2024. godine.</w:t>
      </w:r>
    </w:p>
    <w:p w14:paraId="7E0FA535" w14:textId="77777777" w:rsidR="00BF6ED8" w:rsidRPr="00630D0F" w:rsidRDefault="00BF6ED8" w:rsidP="00BF6ED8">
      <w:pPr>
        <w:ind w:left="5" w:right="0"/>
      </w:pPr>
      <w:r w:rsidRPr="00630D0F">
        <w:rPr>
          <w:b/>
        </w:rPr>
        <w:t>PROGRAM</w:t>
      </w:r>
      <w:r w:rsidRPr="00630D0F">
        <w:t xml:space="preserve"> – </w:t>
      </w:r>
      <w:r w:rsidRPr="00630D0F">
        <w:rPr>
          <w:b/>
        </w:rPr>
        <w:t>Lokalna samouprava</w:t>
      </w:r>
      <w:r w:rsidRPr="00630D0F">
        <w:t xml:space="preserve">, povećava se za 1.150,00 eura.  </w:t>
      </w:r>
    </w:p>
    <w:p w14:paraId="3941EF45" w14:textId="35E95BE2" w:rsidR="00BF6ED8" w:rsidRPr="00630D0F" w:rsidRDefault="00BF6ED8" w:rsidP="00BF6ED8">
      <w:pPr>
        <w:spacing w:after="160"/>
        <w:ind w:left="5" w:right="0"/>
      </w:pPr>
      <w:r w:rsidRPr="00630D0F">
        <w:t xml:space="preserve">Aktivnost A102301 Rashodi za zaposlene povećavaju se za svega 3,9 %, odnosno za iznos od 11.650,00 eura </w:t>
      </w:r>
      <w:r w:rsidR="001C47AF">
        <w:t>uslijed preuzimanja poslova</w:t>
      </w:r>
      <w:r w:rsidRPr="00630D0F">
        <w:t xml:space="preserve"> prouzročenog </w:t>
      </w:r>
      <w:r w:rsidR="001C47AF">
        <w:t>dužim</w:t>
      </w:r>
      <w:r w:rsidRPr="00630D0F">
        <w:t xml:space="preserve"> bolovanjima </w:t>
      </w:r>
      <w:r w:rsidR="001C47AF">
        <w:t xml:space="preserve">više </w:t>
      </w:r>
      <w:r w:rsidRPr="00630D0F">
        <w:t>djelatnika</w:t>
      </w:r>
      <w:r w:rsidR="001C47AF">
        <w:t xml:space="preserve"> odnosno usklađivanja plaća sa ostalim jedinicama lokalne samouprave.</w:t>
      </w:r>
    </w:p>
    <w:p w14:paraId="3184FE36" w14:textId="77777777" w:rsidR="00BF6ED8" w:rsidRPr="00630D0F" w:rsidRDefault="00BF6ED8" w:rsidP="00BF6ED8">
      <w:pPr>
        <w:spacing w:after="179"/>
        <w:ind w:left="5" w:right="0"/>
      </w:pPr>
      <w:r w:rsidRPr="00630D0F">
        <w:t xml:space="preserve">Aktivnost A102302 Materijalni rashodi povećava se za 9.000,00 eura, po pozicijama kako slijedi:  </w:t>
      </w:r>
    </w:p>
    <w:p w14:paraId="561936C8" w14:textId="77777777" w:rsidR="00BF6ED8" w:rsidRPr="00630D0F" w:rsidRDefault="00BF6ED8" w:rsidP="00BF6ED8">
      <w:pPr>
        <w:numPr>
          <w:ilvl w:val="0"/>
          <w:numId w:val="6"/>
        </w:numPr>
        <w:spacing w:after="173"/>
        <w:ind w:right="0"/>
      </w:pPr>
      <w:r w:rsidRPr="00630D0F">
        <w:t>pozicija 13 – Materijal i dijelovi za tekuće i investicijsko održavanje povećava se  za iznos od 2.000,00 eura na ime povećane potrebe za nabavkom sanitarnog pribora</w:t>
      </w:r>
    </w:p>
    <w:p w14:paraId="20577658" w14:textId="20986CAB" w:rsidR="00BF6ED8" w:rsidRPr="00630D0F" w:rsidRDefault="00BF6ED8" w:rsidP="00BF6ED8">
      <w:pPr>
        <w:spacing w:after="173"/>
        <w:ind w:right="0" w:firstLine="0"/>
      </w:pPr>
      <w:r w:rsidRPr="00630D0F">
        <w:rPr>
          <w:rFonts w:ascii="Segoe UI Symbol" w:eastAsia="Segoe UI Symbol" w:hAnsi="Segoe UI Symbol" w:cs="Segoe UI Symbol"/>
        </w:rPr>
        <w:t>•</w:t>
      </w:r>
      <w:r w:rsidRPr="00630D0F">
        <w:t xml:space="preserve">        pozicija 14 – Sitni inventar i autogume  povećava se za iznos od 1.000,00 eura na ime planirane nabavke opreme računalna oprema (usb, bežični miševi i sl), te ostale opreme</w:t>
      </w:r>
      <w:r w:rsidR="00C23E19">
        <w:t>.</w:t>
      </w:r>
    </w:p>
    <w:p w14:paraId="5663BFB8" w14:textId="77777777" w:rsidR="00BF6ED8" w:rsidRPr="00630D0F" w:rsidRDefault="00BF6ED8" w:rsidP="00BF6ED8">
      <w:pPr>
        <w:numPr>
          <w:ilvl w:val="0"/>
          <w:numId w:val="6"/>
        </w:numPr>
        <w:spacing w:after="172"/>
        <w:ind w:right="0"/>
      </w:pPr>
      <w:r w:rsidRPr="00630D0F">
        <w:t xml:space="preserve">pozicija 15 – Usluge telefona, pošte i prijevoza povećava se za iznos od 3.000,00 eura zbog zapošljavanja </w:t>
      </w:r>
      <w:r w:rsidR="006F47F9">
        <w:t>n</w:t>
      </w:r>
      <w:r w:rsidRPr="00630D0F">
        <w:t>ovih djelatnica putem projekta Zajedno u zlatnim godinama kojim su dodijeljeni mobiteli.</w:t>
      </w:r>
      <w:r w:rsidRPr="00630D0F">
        <w:rPr>
          <w:rFonts w:ascii="Calibri" w:eastAsia="Calibri" w:hAnsi="Calibri" w:cs="Calibri"/>
        </w:rPr>
        <w:t xml:space="preserve"> </w:t>
      </w:r>
    </w:p>
    <w:p w14:paraId="4BBEE70F" w14:textId="77777777" w:rsidR="00BF6ED8" w:rsidRPr="00630D0F" w:rsidRDefault="00BF6ED8" w:rsidP="00BF6ED8">
      <w:pPr>
        <w:numPr>
          <w:ilvl w:val="0"/>
          <w:numId w:val="6"/>
        </w:numPr>
        <w:ind w:right="0"/>
      </w:pPr>
      <w:r w:rsidRPr="00630D0F">
        <w:lastRenderedPageBreak/>
        <w:t>pozicija 23 –  Ostale nespomenute usluge  povećavaju se za iznos od 3.000,00 eura i to sukladno uputi pristigloj od strane Ministarstva financija</w:t>
      </w:r>
      <w:r w:rsidR="006F47F9">
        <w:t xml:space="preserve"> te se k</w:t>
      </w:r>
      <w:r w:rsidRPr="00630D0F">
        <w:t xml:space="preserve">njiženja </w:t>
      </w:r>
      <w:r w:rsidR="006F47F9">
        <w:t xml:space="preserve">ranije planirana i knjižena na poz 16 i 17 </w:t>
      </w:r>
      <w:r w:rsidRPr="00630D0F">
        <w:t xml:space="preserve">prebacuju na </w:t>
      </w:r>
      <w:r w:rsidR="006F47F9">
        <w:t xml:space="preserve">ovu </w:t>
      </w:r>
      <w:r w:rsidRPr="00630D0F">
        <w:t>poziciju.</w:t>
      </w:r>
    </w:p>
    <w:p w14:paraId="75B315E5" w14:textId="77777777" w:rsidR="00BF6ED8" w:rsidRPr="00630D0F" w:rsidRDefault="00BF6ED8" w:rsidP="00BF6ED8">
      <w:pPr>
        <w:numPr>
          <w:ilvl w:val="0"/>
          <w:numId w:val="6"/>
        </w:numPr>
        <w:ind w:right="0"/>
      </w:pPr>
      <w:r w:rsidRPr="00630D0F">
        <w:t xml:space="preserve">pozicija 90 – Pristojbe i naknade povećava se za iznos od 2.000,00 eura </w:t>
      </w:r>
    </w:p>
    <w:p w14:paraId="725BDE29" w14:textId="499710CC" w:rsidR="00BF6ED8" w:rsidRPr="00630D0F" w:rsidRDefault="00BF6ED8" w:rsidP="00BF6ED8">
      <w:pPr>
        <w:numPr>
          <w:ilvl w:val="0"/>
          <w:numId w:val="6"/>
        </w:numPr>
        <w:ind w:right="0"/>
      </w:pPr>
      <w:r w:rsidRPr="00630D0F">
        <w:t>pozicija 130 – Naknade za prijevoz na posao smanjuje se za iznos od 2.000,00 eura zbog smanjenja cijena mjesečnih pokaznih karata za iznos od 25% - K</w:t>
      </w:r>
      <w:r w:rsidR="00C23E19">
        <w:t>D</w:t>
      </w:r>
      <w:r w:rsidRPr="00630D0F">
        <w:t xml:space="preserve"> Autotrolej d.o.o.</w:t>
      </w:r>
      <w:r w:rsidRPr="00630D0F">
        <w:rPr>
          <w:rFonts w:ascii="Calibri" w:eastAsia="Calibri" w:hAnsi="Calibri" w:cs="Calibri"/>
        </w:rPr>
        <w:t xml:space="preserve"> </w:t>
      </w:r>
    </w:p>
    <w:p w14:paraId="4966C15B" w14:textId="709EDCC3" w:rsidR="00BF6ED8" w:rsidRPr="00630D0F" w:rsidRDefault="00BF6ED8" w:rsidP="00BF6ED8">
      <w:pPr>
        <w:ind w:left="5" w:right="0"/>
      </w:pPr>
      <w:r w:rsidRPr="00630D0F">
        <w:t xml:space="preserve">Do povećanja u iznosu od 500,00 eura dolazi unutar Aktivnosti A102303 Financijski rashodi i to zbog </w:t>
      </w:r>
      <w:r w:rsidR="00C23E19">
        <w:t>povećanja bankarskih naknada</w:t>
      </w:r>
      <w:r w:rsidRPr="00630D0F">
        <w:t>.</w:t>
      </w:r>
    </w:p>
    <w:p w14:paraId="0614A0A5" w14:textId="77777777" w:rsidR="00BF6ED8" w:rsidRPr="00630D0F" w:rsidRDefault="00BF6ED8" w:rsidP="00BF6ED8">
      <w:pPr>
        <w:ind w:left="5" w:right="0"/>
      </w:pPr>
      <w:r w:rsidRPr="00630D0F">
        <w:t>Aktivnost A102304 – Naknade, štete, kazne, penali smanjuje se za 20.000,00 eura</w:t>
      </w:r>
      <w:r w:rsidR="006F47F9">
        <w:t xml:space="preserve"> zbog podmirene obveze p</w:t>
      </w:r>
      <w:r w:rsidRPr="00630D0F">
        <w:t xml:space="preserve">rema HEP – proizvodnji </w:t>
      </w:r>
      <w:r w:rsidR="006F47F9">
        <w:t>(</w:t>
      </w:r>
      <w:r w:rsidRPr="00630D0F">
        <w:t>zakonske zatezne kamate na glavnicu duga i zakonske zatezne kamate na parnični trošak</w:t>
      </w:r>
      <w:r w:rsidR="006F47F9">
        <w:t xml:space="preserve"> za jezero Valići)</w:t>
      </w:r>
      <w:r w:rsidRPr="00630D0F">
        <w:t>.</w:t>
      </w:r>
    </w:p>
    <w:p w14:paraId="60639296" w14:textId="77777777" w:rsidR="00BF6ED8" w:rsidRPr="00630D0F" w:rsidRDefault="00BF6ED8" w:rsidP="00BF6ED8">
      <w:pPr>
        <w:ind w:left="5" w:right="0"/>
      </w:pPr>
      <w:r w:rsidRPr="00630D0F">
        <w:rPr>
          <w:b/>
        </w:rPr>
        <w:t>PROGRAM - Upravljanje imovinom</w:t>
      </w:r>
      <w:r w:rsidRPr="00630D0F">
        <w:t xml:space="preserve"> smanjuje se na rashodovnoj strani u iznosu od 552.835,00 eura.  </w:t>
      </w:r>
      <w:r w:rsidRPr="00630D0F">
        <w:rPr>
          <w:rFonts w:ascii="Calibri" w:eastAsia="Calibri" w:hAnsi="Calibri" w:cs="Calibri"/>
        </w:rPr>
        <w:t xml:space="preserve"> </w:t>
      </w:r>
    </w:p>
    <w:p w14:paraId="66FB6A9E" w14:textId="25385228" w:rsidR="00BF6ED8" w:rsidRPr="00630D0F" w:rsidRDefault="00BF6ED8" w:rsidP="00BF6ED8">
      <w:pPr>
        <w:ind w:left="5" w:right="0"/>
      </w:pPr>
      <w:r w:rsidRPr="00630D0F">
        <w:t xml:space="preserve">Aktivnost A100301 Održavanje zgrada povećava se za iznos od 47.000,00 eura zbog planiranog većeg tekućeg i investicijskog ulaganja u zgrade u vlasništvu Općine (sanacija i </w:t>
      </w:r>
      <w:r w:rsidR="00C23E19">
        <w:t>krečenje</w:t>
      </w:r>
      <w:r w:rsidRPr="00630D0F">
        <w:t xml:space="preserve"> kotlovnice, izvođenje strojarskih radova – kuglana i NK Rječina, vodoinstalaterski i strojarski radovi – kuglana, cvjetarna Ana, ambulanta, sanacija limenog krova na zgradi općine Jelenje ) kao i pozicija 30 – materijal i dijelovi za tekuće i investicijsko održavanje, u iznosu od 5.000,00 eura. </w:t>
      </w:r>
      <w:r w:rsidRPr="00630D0F">
        <w:rPr>
          <w:rFonts w:ascii="Calibri" w:eastAsia="Calibri" w:hAnsi="Calibri" w:cs="Calibri"/>
        </w:rPr>
        <w:t xml:space="preserve"> </w:t>
      </w:r>
    </w:p>
    <w:p w14:paraId="56361F57" w14:textId="77777777" w:rsidR="00BF6ED8" w:rsidRPr="00630D0F" w:rsidRDefault="00BF6ED8" w:rsidP="00BF6ED8">
      <w:pPr>
        <w:ind w:left="5" w:right="0"/>
        <w:rPr>
          <w:rFonts w:ascii="Calibri" w:eastAsia="Calibri" w:hAnsi="Calibri" w:cs="Calibri"/>
        </w:rPr>
      </w:pPr>
      <w:r w:rsidRPr="00630D0F">
        <w:t>Aktivnost A100302 – Održavanje vozila povećava se za iznos od 165,00 eura zbog konstantnog povećanja cijene energenata.</w:t>
      </w:r>
      <w:r w:rsidRPr="00630D0F">
        <w:rPr>
          <w:rFonts w:ascii="Calibri" w:eastAsia="Calibri" w:hAnsi="Calibri" w:cs="Calibri"/>
        </w:rPr>
        <w:t xml:space="preserve"> </w:t>
      </w:r>
    </w:p>
    <w:p w14:paraId="755D34AE" w14:textId="19232B56" w:rsidR="00BF6ED8" w:rsidRPr="00630D0F" w:rsidRDefault="00BF6ED8" w:rsidP="00BF6ED8">
      <w:pPr>
        <w:ind w:left="5" w:right="0"/>
      </w:pPr>
      <w:r w:rsidRPr="00630D0F">
        <w:rPr>
          <w:rFonts w:eastAsia="Calibri"/>
          <w:b/>
          <w:bCs/>
        </w:rPr>
        <w:t>Kapitalni projekt K100306 Registar nekretnina</w:t>
      </w:r>
      <w:r w:rsidRPr="00630D0F">
        <w:rPr>
          <w:rFonts w:eastAsia="Calibri"/>
        </w:rPr>
        <w:t xml:space="preserve"> povećava se za iznos od </w:t>
      </w:r>
      <w:r w:rsidR="00C23E19">
        <w:rPr>
          <w:rFonts w:eastAsia="Calibri"/>
        </w:rPr>
        <w:t>2</w:t>
      </w:r>
      <w:r w:rsidRPr="00630D0F">
        <w:rPr>
          <w:rFonts w:eastAsia="Calibri"/>
        </w:rPr>
        <w:t xml:space="preserve">.000,00 eura zbog veće potrebe </w:t>
      </w:r>
      <w:r w:rsidR="00C23E19">
        <w:rPr>
          <w:rFonts w:eastAsia="Calibri"/>
        </w:rPr>
        <w:t>izrade dodatnih modula i procjena</w:t>
      </w:r>
      <w:r w:rsidRPr="00630D0F">
        <w:rPr>
          <w:rFonts w:eastAsia="Calibri"/>
        </w:rPr>
        <w:t>.</w:t>
      </w:r>
    </w:p>
    <w:p w14:paraId="13BADC84" w14:textId="77777777" w:rsidR="00BF6ED8" w:rsidRPr="00630D0F" w:rsidRDefault="00BF6ED8" w:rsidP="00BF6ED8">
      <w:pPr>
        <w:ind w:left="5" w:right="0"/>
      </w:pPr>
      <w:r w:rsidRPr="00630D0F">
        <w:rPr>
          <w:b/>
        </w:rPr>
        <w:t xml:space="preserve">Kapitalni projekt K100314 – Proširenje zgrade vrtića </w:t>
      </w:r>
      <w:r w:rsidRPr="00630D0F">
        <w:t>smanjuje se za iznos od 250.000,00 eura zbog raskida Ugovora sa izvođačem i privremeno obustavljenim radovima.</w:t>
      </w:r>
    </w:p>
    <w:p w14:paraId="02AA7D9D" w14:textId="1904ECA0" w:rsidR="00BF6ED8" w:rsidRPr="00630D0F" w:rsidRDefault="00BF6ED8" w:rsidP="00BF6ED8">
      <w:pPr>
        <w:ind w:left="5" w:right="0"/>
      </w:pPr>
      <w:r w:rsidRPr="00630D0F">
        <w:rPr>
          <w:b/>
        </w:rPr>
        <w:t>Kapitalni projekt K100317 – Postavljanje solarnih panela na javne zgrade</w:t>
      </w:r>
      <w:r w:rsidRPr="00630D0F">
        <w:t xml:space="preserve"> smanjuje se za iznos od 27.000,00 eura jer </w:t>
      </w:r>
      <w:r w:rsidR="0084237C">
        <w:t>postoji najava financiranja za iduću godinu te će se navedeno realizirati putem vanjskog financiranja.</w:t>
      </w:r>
    </w:p>
    <w:p w14:paraId="61A1925A" w14:textId="6FD0E571" w:rsidR="00BF6ED8" w:rsidRPr="00630D0F" w:rsidRDefault="00BF6ED8" w:rsidP="00BF6ED8">
      <w:pPr>
        <w:ind w:left="5" w:right="0"/>
      </w:pPr>
      <w:r w:rsidRPr="00630D0F">
        <w:rPr>
          <w:b/>
        </w:rPr>
        <w:t>Kapitalni projekt K100318 – I dalje zajedno – 65+</w:t>
      </w:r>
      <w:r w:rsidRPr="00630D0F">
        <w:t xml:space="preserve"> - </w:t>
      </w:r>
      <w:r w:rsidR="006F47F9">
        <w:t xml:space="preserve">Intelektualne usluge se </w:t>
      </w:r>
      <w:r w:rsidRPr="00630D0F">
        <w:t>smanjuje za iznos od 10.000,00 eura</w:t>
      </w:r>
      <w:r w:rsidR="006F47F9">
        <w:t xml:space="preserve"> </w:t>
      </w:r>
      <w:r w:rsidR="0084237C">
        <w:t>jer uslijed pomicanja objave javnog poziva u sklopu Urbane aglomeracije Rijeka nisu potrebne predmetne usluge u tekućoj godini.</w:t>
      </w:r>
      <w:r w:rsidR="006F47F9">
        <w:t xml:space="preserve"> </w:t>
      </w:r>
    </w:p>
    <w:p w14:paraId="0E7867E2" w14:textId="77777777" w:rsidR="00BF6ED8" w:rsidRPr="00630D0F" w:rsidRDefault="00BF6ED8" w:rsidP="00BF6ED8">
      <w:pPr>
        <w:ind w:left="5" w:right="0"/>
      </w:pPr>
      <w:r w:rsidRPr="00630D0F">
        <w:rPr>
          <w:b/>
        </w:rPr>
        <w:t xml:space="preserve">Kapitalni projekt K100321- Uređenje Doma kulture u Dražicama </w:t>
      </w:r>
      <w:r w:rsidRPr="00630D0F">
        <w:t xml:space="preserve">smanjuje se za iznos od 16.000,00 eura jer su planirani radovi završeni i u planu do kraja godine </w:t>
      </w:r>
      <w:r w:rsidR="006F47F9">
        <w:t xml:space="preserve">se više neće </w:t>
      </w:r>
      <w:r w:rsidRPr="00630D0F">
        <w:t>dodatn</w:t>
      </w:r>
      <w:r w:rsidR="006F47F9">
        <w:t>o</w:t>
      </w:r>
      <w:r w:rsidRPr="00630D0F">
        <w:t xml:space="preserve"> ulaga</w:t>
      </w:r>
      <w:r w:rsidR="006F47F9">
        <w:t>ti</w:t>
      </w:r>
      <w:r w:rsidRPr="00630D0F">
        <w:t>.</w:t>
      </w:r>
    </w:p>
    <w:p w14:paraId="3C3603C5" w14:textId="5889C77C" w:rsidR="00BF6ED8" w:rsidRPr="00630D0F" w:rsidRDefault="00BF6ED8" w:rsidP="00BF6ED8">
      <w:pPr>
        <w:ind w:left="5" w:right="0"/>
      </w:pPr>
      <w:r w:rsidRPr="00630D0F">
        <w:rPr>
          <w:b/>
        </w:rPr>
        <w:t>Kapitalni projekt K100322 –</w:t>
      </w:r>
      <w:r w:rsidRPr="00630D0F">
        <w:t xml:space="preserve"> </w:t>
      </w:r>
      <w:r w:rsidRPr="00630D0F">
        <w:rPr>
          <w:b/>
        </w:rPr>
        <w:t>Prenamjena poslovne zgrade u Podhumu</w:t>
      </w:r>
      <w:r w:rsidRPr="00630D0F">
        <w:t xml:space="preserve">, smanjuje se za iznos od 7.000,00 eura jer su radovi </w:t>
      </w:r>
      <w:r w:rsidR="00A83266">
        <w:t xml:space="preserve">u cijelosti </w:t>
      </w:r>
      <w:r w:rsidRPr="00630D0F">
        <w:t>završeni</w:t>
      </w:r>
      <w:r w:rsidR="00A83266">
        <w:t xml:space="preserve"> te nema dodatnih troškova. </w:t>
      </w:r>
    </w:p>
    <w:p w14:paraId="7F3B7F05" w14:textId="062553B0" w:rsidR="00BF6ED8" w:rsidRPr="00630D0F" w:rsidRDefault="00BF6ED8" w:rsidP="00BF6ED8">
      <w:pPr>
        <w:ind w:left="5" w:right="0"/>
      </w:pPr>
      <w:r w:rsidRPr="00630D0F">
        <w:rPr>
          <w:b/>
        </w:rPr>
        <w:t>Kapitalni projekt K100324 – Stambeno zbrinjavanje deficitarnog kadra – rekonstrukcija i prenamjena objekta stare škole u Trnovici</w:t>
      </w:r>
      <w:r w:rsidRPr="00630D0F">
        <w:t>, smanjuje se za iznos od 228.000,00 eura jer se do kraja godine ne planira pristupiti realizaciji spomenutog kapitalnog projekta</w:t>
      </w:r>
      <w:r w:rsidR="00A83266">
        <w:t xml:space="preserve"> odnosno u tijeku je ishođenje građevinske dozvole.</w:t>
      </w:r>
    </w:p>
    <w:p w14:paraId="23259A7E" w14:textId="77A8A574" w:rsidR="00A83266" w:rsidRDefault="00BF6ED8" w:rsidP="00BF6ED8">
      <w:pPr>
        <w:ind w:left="5" w:right="0"/>
      </w:pPr>
      <w:r w:rsidRPr="00630D0F">
        <w:t>Unutar</w:t>
      </w:r>
      <w:r w:rsidRPr="00630D0F">
        <w:rPr>
          <w:b/>
        </w:rPr>
        <w:t xml:space="preserve"> PROGRAMA – Prostorno uređenje i unapređenje stanovanja </w:t>
      </w:r>
      <w:r w:rsidRPr="00630D0F">
        <w:t>dolazi do smanjenja u iznosu od 35.000,00 eura</w:t>
      </w:r>
      <w:r w:rsidR="00A83266">
        <w:t xml:space="preserve"> jer</w:t>
      </w:r>
      <w:r w:rsidRPr="00630D0F">
        <w:t xml:space="preserve"> </w:t>
      </w:r>
      <w:r w:rsidR="00A83266">
        <w:t>će započeta izrada Izmjena i dopuna prostornog plana uređenja Općine Jelenje putem ISPU sustava e-planovi biti završena iduće godine, kao i započeti procesi ukidanja DPU.</w:t>
      </w:r>
    </w:p>
    <w:p w14:paraId="0B28DE09" w14:textId="49F5CEDC" w:rsidR="00BF6ED8" w:rsidRPr="00630D0F" w:rsidRDefault="00BF6ED8" w:rsidP="00BF6ED8">
      <w:pPr>
        <w:ind w:left="5" w:right="0"/>
      </w:pPr>
      <w:r w:rsidRPr="00630D0F">
        <w:lastRenderedPageBreak/>
        <w:t xml:space="preserve">Unutar </w:t>
      </w:r>
      <w:r w:rsidRPr="00630D0F">
        <w:rPr>
          <w:b/>
        </w:rPr>
        <w:t>PROGRAMA – Gradnja komunalne infrastrukture</w:t>
      </w:r>
      <w:r w:rsidRPr="00630D0F">
        <w:t xml:space="preserve"> dolazi do povećanja i to za iznos od 28.200,00 eura na ime planiranih ulaganja u </w:t>
      </w:r>
      <w:r w:rsidR="00A83266">
        <w:t xml:space="preserve">unapređenje prometne regulacije. </w:t>
      </w:r>
    </w:p>
    <w:p w14:paraId="39DAB2D2" w14:textId="77777777" w:rsidR="00BF6ED8" w:rsidRPr="00630D0F" w:rsidRDefault="00BF6ED8" w:rsidP="00BF6ED8">
      <w:pPr>
        <w:ind w:left="5" w:right="0"/>
      </w:pPr>
      <w:r w:rsidRPr="00630D0F">
        <w:t xml:space="preserve">Na ime planiranog povećanja opsega održavanja komunalne infrastrukture, </w:t>
      </w:r>
      <w:r w:rsidRPr="00630D0F">
        <w:rPr>
          <w:b/>
        </w:rPr>
        <w:t>PROGRAM</w:t>
      </w:r>
      <w:r w:rsidRPr="00630D0F">
        <w:t xml:space="preserve"> – </w:t>
      </w:r>
      <w:r w:rsidRPr="00630D0F">
        <w:rPr>
          <w:b/>
        </w:rPr>
        <w:t>Održavanje komunalne infrastrukture</w:t>
      </w:r>
      <w:r w:rsidRPr="00630D0F">
        <w:t xml:space="preserve"> se povećava za 32.000,00 eura i to pozicija 46 – Usluge tekućeg i investicijskog održavanja – održavanje nerazvrstanih cesta i drugih javnih površina za iznos od 10.000,00 eura, pozicija 49 – Usluge tekućeg i investicijskog održavanja – održavanje sustava javne rasvjete za iznos od 5.000,00 eura, pozicija 109 –  Održavanja groblja za iznos od 15.000,00 eura, pozicija 206 – Tekuće održavanje dječjih igrališta za iznos od 5.000,00 eura, pozicija 308 – Usluge tekućeg i investicijskog održavanja – usluge održavanja prometne signalizacije  za iznos od 5.000,00 eura, dok  se pozicija 47 – Usluge tekućeg i investicijskog održavanja – održavanje zelenih površina smanjuje za iznos od 8.000,00 eura. </w:t>
      </w:r>
    </w:p>
    <w:p w14:paraId="160AFAEF" w14:textId="77777777" w:rsidR="00BF6ED8" w:rsidRPr="00630D0F" w:rsidRDefault="00BF6ED8" w:rsidP="00BF6ED8">
      <w:pPr>
        <w:ind w:left="5" w:right="0"/>
      </w:pPr>
      <w:r w:rsidRPr="00630D0F">
        <w:rPr>
          <w:b/>
        </w:rPr>
        <w:t>PROGRAM – Zaštita okoliša</w:t>
      </w:r>
      <w:r w:rsidRPr="00630D0F">
        <w:t xml:space="preserve"> – povećava se za 5.000,00 eura zbog tehničkog preslagivanja proračuna (spajaju se Kapitalni projekt K100320 Smart sense airq indoor i Kapitalni projekt K101105 Smart sense airq). </w:t>
      </w:r>
    </w:p>
    <w:p w14:paraId="3E4951BB" w14:textId="77777777" w:rsidR="00BF6ED8" w:rsidRPr="00630D0F" w:rsidRDefault="00BF6ED8" w:rsidP="00BF6ED8">
      <w:pPr>
        <w:ind w:left="5" w:right="0"/>
      </w:pPr>
      <w:r w:rsidRPr="00630D0F">
        <w:rPr>
          <w:b/>
        </w:rPr>
        <w:t>PROGRAM – Socijalni program (Skrb)</w:t>
      </w:r>
      <w:r w:rsidRPr="00630D0F">
        <w:t xml:space="preserve"> – smanjuje se za iznos od 30.300,00 eura. Tekući projekt T101601 – Pomoć u kući i druge vrste pomoći u okviru projekta Zajedno u zlatnim godinama smanjuje se za iznos od 27.800,00 jer je realizacija projekta otpočela kasnije nego što se planiralo. </w:t>
      </w:r>
    </w:p>
    <w:p w14:paraId="1DD14189" w14:textId="77777777" w:rsidR="00BF6ED8" w:rsidRPr="00630D0F" w:rsidRDefault="00BF6ED8" w:rsidP="00BF6ED8">
      <w:pPr>
        <w:ind w:left="5" w:right="0"/>
      </w:pPr>
      <w:r w:rsidRPr="00630D0F">
        <w:rPr>
          <w:b/>
        </w:rPr>
        <w:t>PROGRAM – Razvoj sporta i rekreacije</w:t>
      </w:r>
      <w:r w:rsidRPr="00630D0F">
        <w:t xml:space="preserve"> – dolazi do povećanja u iznosu od 5.000,00 eura i to unutar kapitalnog projekta K101802 Nabava sportske opreme za iznos od 1.000,00 eura zbog planirane nabavke opreme koju koriste sportske udruge, a kapitalni projekt K101805 – Led rasvjeta na nogometnom igralištu Rječina povećava za iznos od 4.000,00 eura zbog planiranih dodatnih radova na igralištu u sklopu navedenog projekta. </w:t>
      </w:r>
    </w:p>
    <w:p w14:paraId="7FCBECFF" w14:textId="4F26F0D7" w:rsidR="00BF6ED8" w:rsidRPr="00630D0F" w:rsidRDefault="00BF6ED8" w:rsidP="00BF6ED8">
      <w:pPr>
        <w:ind w:left="5" w:right="0"/>
      </w:pPr>
      <w:r w:rsidRPr="00630D0F">
        <w:rPr>
          <w:b/>
        </w:rPr>
        <w:t xml:space="preserve">PROGRAM </w:t>
      </w:r>
      <w:r w:rsidRPr="00630D0F">
        <w:t xml:space="preserve">– Razvojni program općine Jelenje smanjuje se za 16.500,00 eura jer </w:t>
      </w:r>
      <w:r w:rsidR="00431AF0">
        <w:t>je naknadno utvrđeno da ne postoji obveza izrade istoga u tekućoj godini.</w:t>
      </w:r>
    </w:p>
    <w:p w14:paraId="4D4FF6BC" w14:textId="77B65FEC" w:rsidR="00BF6ED8" w:rsidRPr="00630D0F" w:rsidRDefault="00BF6ED8" w:rsidP="00BF6ED8">
      <w:pPr>
        <w:ind w:left="5" w:right="0"/>
      </w:pPr>
      <w:r w:rsidRPr="00630D0F">
        <w:rPr>
          <w:b/>
        </w:rPr>
        <w:t xml:space="preserve">PROGRAM </w:t>
      </w:r>
      <w:r w:rsidRPr="00630D0F">
        <w:t xml:space="preserve">– </w:t>
      </w:r>
      <w:r w:rsidRPr="00630D0F">
        <w:rPr>
          <w:b/>
        </w:rPr>
        <w:t xml:space="preserve">Školstvo </w:t>
      </w:r>
      <w:r w:rsidR="00A83266">
        <w:t>–</w:t>
      </w:r>
      <w:r w:rsidRPr="00630D0F">
        <w:t xml:space="preserve"> </w:t>
      </w:r>
      <w:r w:rsidR="00A83266">
        <w:t>Smanjuje se</w:t>
      </w:r>
      <w:r w:rsidRPr="00630D0F">
        <w:t xml:space="preserve"> u iznosu od 500,00 eura</w:t>
      </w:r>
      <w:r w:rsidR="00A83266">
        <w:t>.</w:t>
      </w:r>
      <w:r w:rsidRPr="00630D0F">
        <w:t xml:space="preserve"> Aktivnost A102404 Produženi boravak i cjelodnevna nastava</w:t>
      </w:r>
      <w:r w:rsidR="00A83266">
        <w:t xml:space="preserve"> povećava se</w:t>
      </w:r>
      <w:r w:rsidRPr="00630D0F">
        <w:t xml:space="preserve"> za iznos od 3.500,00 eura zbog otvaranja nove grupe (učenici 3. razreda) koja polazi produženu nastavu</w:t>
      </w:r>
      <w:r w:rsidR="00A83266">
        <w:t>, dok se uslijed smanjenog opsega ostvarenja aktivnosti</w:t>
      </w:r>
      <w:r w:rsidRPr="00630D0F">
        <w:t xml:space="preserve"> Poklon za polaznike prvog razreda, kao i Nabavk</w:t>
      </w:r>
      <w:r w:rsidR="00A83266">
        <w:t>a</w:t>
      </w:r>
      <w:r w:rsidRPr="00630D0F">
        <w:t xml:space="preserve"> radnih bilježnica i školskih potrepština </w:t>
      </w:r>
      <w:r w:rsidR="00A83266">
        <w:t>smanjuje</w:t>
      </w:r>
      <w:r w:rsidRPr="00630D0F">
        <w:t xml:space="preserve"> za iznos od 4.000,00 eura. </w:t>
      </w:r>
    </w:p>
    <w:p w14:paraId="0FB96D21" w14:textId="77777777" w:rsidR="00BF6ED8" w:rsidRDefault="00BF6ED8" w:rsidP="00BF6ED8">
      <w:pPr>
        <w:ind w:left="5" w:right="0"/>
      </w:pPr>
      <w:r w:rsidRPr="00630D0F">
        <w:t>Ostali nenavedeni vrijednosno promijenjeni rashodi i izdaci proračuna ne utječu značajno na visinu proračuna.</w:t>
      </w:r>
      <w:r>
        <w:t xml:space="preserve"> </w:t>
      </w:r>
      <w:r>
        <w:rPr>
          <w:rFonts w:ascii="Calibri" w:eastAsia="Calibri" w:hAnsi="Calibri" w:cs="Calibri"/>
        </w:rPr>
        <w:t xml:space="preserve"> </w:t>
      </w:r>
    </w:p>
    <w:p w14:paraId="579C54DE" w14:textId="77777777" w:rsidR="00BF6ED8" w:rsidRDefault="00BF6ED8" w:rsidP="00BF6ED8">
      <w:pPr>
        <w:spacing w:after="149" w:line="259" w:lineRule="auto"/>
        <w:ind w:left="0" w:right="0" w:firstLine="0"/>
        <w:jc w:val="left"/>
      </w:pPr>
      <w:r>
        <w:rPr>
          <w:b/>
          <w:color w:val="FF0000"/>
        </w:rPr>
        <w:t xml:space="preserve"> </w:t>
      </w:r>
      <w:r>
        <w:rPr>
          <w:rFonts w:ascii="Calibri" w:eastAsia="Calibri" w:hAnsi="Calibri" w:cs="Calibri"/>
        </w:rPr>
        <w:t xml:space="preserve"> </w:t>
      </w:r>
    </w:p>
    <w:p w14:paraId="2370A63C" w14:textId="77777777" w:rsidR="00D26CC9" w:rsidRDefault="00BF6ED8" w:rsidP="00BF6ED8">
      <w:pPr>
        <w:spacing w:after="175" w:line="259" w:lineRule="auto"/>
        <w:ind w:left="0" w:right="0" w:firstLine="0"/>
        <w:jc w:val="left"/>
      </w:pPr>
      <w:r>
        <w:rPr>
          <w:b/>
        </w:rPr>
        <w:t xml:space="preserve"> </w:t>
      </w:r>
      <w:r>
        <w:t xml:space="preserve"> </w:t>
      </w:r>
    </w:p>
    <w:sectPr w:rsidR="00D26CC9">
      <w:footerReference w:type="even" r:id="rId9"/>
      <w:footerReference w:type="default" r:id="rId10"/>
      <w:footerReference w:type="first" r:id="rId11"/>
      <w:pgSz w:w="11906" w:h="16838"/>
      <w:pgMar w:top="1142" w:right="1123" w:bottom="1351" w:left="1118" w:header="72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9ABFC" w14:textId="77777777" w:rsidR="007F43E6" w:rsidRDefault="007F43E6">
      <w:pPr>
        <w:spacing w:after="0" w:line="240" w:lineRule="auto"/>
      </w:pPr>
      <w:r>
        <w:separator/>
      </w:r>
    </w:p>
  </w:endnote>
  <w:endnote w:type="continuationSeparator" w:id="0">
    <w:p w14:paraId="47922C8A" w14:textId="77777777" w:rsidR="007F43E6" w:rsidRDefault="007F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F843B" w14:textId="77777777" w:rsidR="00D26CC9" w:rsidRDefault="00000000">
    <w:pPr>
      <w:spacing w:after="0" w:line="259" w:lineRule="auto"/>
      <w:ind w:left="2" w:right="0" w:firstLine="0"/>
      <w:jc w:val="center"/>
    </w:pPr>
    <w:r>
      <w:fldChar w:fldCharType="begin"/>
    </w:r>
    <w:r>
      <w:instrText xml:space="preserve"> PAGE   \* MERGEFORMAT </w:instrText>
    </w:r>
    <w:r>
      <w:fldChar w:fldCharType="separate"/>
    </w:r>
    <w:r>
      <w:t>1</w:t>
    </w:r>
    <w:r>
      <w:fldChar w:fldCharType="end"/>
    </w:r>
    <w:r>
      <w:t xml:space="preserve"> </w:t>
    </w:r>
    <w:r>
      <w:rPr>
        <w:rFonts w:ascii="Calibri" w:eastAsia="Calibri" w:hAnsi="Calibri" w:cs="Calibri"/>
      </w:rPr>
      <w:t xml:space="preserve"> </w:t>
    </w:r>
  </w:p>
  <w:p w14:paraId="110080F0" w14:textId="77777777" w:rsidR="00D26CC9" w:rsidRDefault="00000000">
    <w:pPr>
      <w:spacing w:after="0" w:line="259" w:lineRule="auto"/>
      <w:ind w:left="14" w:right="0" w:firstLine="0"/>
      <w:jc w:val="left"/>
    </w:pPr>
    <w:r>
      <w:rPr>
        <w:rFonts w:ascii="Times New Roman" w:eastAsia="Times New Roman" w:hAnsi="Times New Roman" w:cs="Times New Roman"/>
        <w:sz w:val="24"/>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61DC" w14:textId="77777777" w:rsidR="00D26CC9" w:rsidRDefault="00000000">
    <w:pPr>
      <w:spacing w:after="0" w:line="259" w:lineRule="auto"/>
      <w:ind w:left="2" w:right="0" w:firstLine="0"/>
      <w:jc w:val="center"/>
    </w:pPr>
    <w:r>
      <w:fldChar w:fldCharType="begin"/>
    </w:r>
    <w:r>
      <w:instrText xml:space="preserve"> PAGE   \* MERGEFORMAT </w:instrText>
    </w:r>
    <w:r>
      <w:fldChar w:fldCharType="separate"/>
    </w:r>
    <w:r>
      <w:t>1</w:t>
    </w:r>
    <w:r>
      <w:fldChar w:fldCharType="end"/>
    </w:r>
    <w:r>
      <w:t xml:space="preserve"> </w:t>
    </w:r>
    <w:r>
      <w:rPr>
        <w:rFonts w:ascii="Calibri" w:eastAsia="Calibri" w:hAnsi="Calibri" w:cs="Calibri"/>
      </w:rPr>
      <w:t xml:space="preserve"> </w:t>
    </w:r>
  </w:p>
  <w:p w14:paraId="6D6D33A0" w14:textId="77777777" w:rsidR="00D26CC9" w:rsidRDefault="00000000">
    <w:pPr>
      <w:spacing w:after="0" w:line="259" w:lineRule="auto"/>
      <w:ind w:left="14" w:right="0" w:firstLine="0"/>
      <w:jc w:val="left"/>
    </w:pPr>
    <w:r>
      <w:rPr>
        <w:rFonts w:ascii="Times New Roman" w:eastAsia="Times New Roman" w:hAnsi="Times New Roman" w:cs="Times New Roman"/>
        <w:sz w:val="24"/>
      </w:rPr>
      <w:t xml:space="preserve"> </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7D23" w14:textId="77777777" w:rsidR="00D26CC9" w:rsidRDefault="00000000">
    <w:pPr>
      <w:spacing w:after="0" w:line="259" w:lineRule="auto"/>
      <w:ind w:left="2" w:right="0" w:firstLine="0"/>
      <w:jc w:val="center"/>
    </w:pPr>
    <w:r>
      <w:fldChar w:fldCharType="begin"/>
    </w:r>
    <w:r>
      <w:instrText xml:space="preserve"> PAGE   \* MERGEFORMAT </w:instrText>
    </w:r>
    <w:r>
      <w:fldChar w:fldCharType="separate"/>
    </w:r>
    <w:r>
      <w:t>1</w:t>
    </w:r>
    <w:r>
      <w:fldChar w:fldCharType="end"/>
    </w:r>
    <w:r>
      <w:t xml:space="preserve"> </w:t>
    </w:r>
    <w:r>
      <w:rPr>
        <w:rFonts w:ascii="Calibri" w:eastAsia="Calibri" w:hAnsi="Calibri" w:cs="Calibri"/>
      </w:rPr>
      <w:t xml:space="preserve"> </w:t>
    </w:r>
  </w:p>
  <w:p w14:paraId="40834AEE" w14:textId="77777777" w:rsidR="00D26CC9" w:rsidRDefault="00000000">
    <w:pPr>
      <w:spacing w:after="0" w:line="259" w:lineRule="auto"/>
      <w:ind w:left="14" w:right="0" w:firstLine="0"/>
      <w:jc w:val="left"/>
    </w:pPr>
    <w:r>
      <w:rPr>
        <w:rFonts w:ascii="Times New Roman" w:eastAsia="Times New Roman" w:hAnsi="Times New Roman" w:cs="Times New Roman"/>
        <w:sz w:val="24"/>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4CD0A" w14:textId="77777777" w:rsidR="007F43E6" w:rsidRDefault="007F43E6">
      <w:pPr>
        <w:spacing w:after="0" w:line="240" w:lineRule="auto"/>
      </w:pPr>
      <w:r>
        <w:separator/>
      </w:r>
    </w:p>
  </w:footnote>
  <w:footnote w:type="continuationSeparator" w:id="0">
    <w:p w14:paraId="08AD079B" w14:textId="77777777" w:rsidR="007F43E6" w:rsidRDefault="007F4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7649A"/>
    <w:multiLevelType w:val="hybridMultilevel"/>
    <w:tmpl w:val="6E5AD0B8"/>
    <w:lvl w:ilvl="0" w:tplc="CB946B98">
      <w:start w:val="1"/>
      <w:numFmt w:val="bullet"/>
      <w:lvlText w:val="-"/>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B6C533E">
      <w:start w:val="1"/>
      <w:numFmt w:val="bullet"/>
      <w:lvlText w:val="o"/>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2061306">
      <w:start w:val="1"/>
      <w:numFmt w:val="bullet"/>
      <w:lvlText w:val="▪"/>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39430E4">
      <w:start w:val="1"/>
      <w:numFmt w:val="bullet"/>
      <w:lvlText w:val="•"/>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4CB28E">
      <w:start w:val="1"/>
      <w:numFmt w:val="bullet"/>
      <w:lvlText w:val="o"/>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3BE43DA">
      <w:start w:val="1"/>
      <w:numFmt w:val="bullet"/>
      <w:lvlText w:val="▪"/>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E244E4">
      <w:start w:val="1"/>
      <w:numFmt w:val="bullet"/>
      <w:lvlText w:val="•"/>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EAAFCC2">
      <w:start w:val="1"/>
      <w:numFmt w:val="bullet"/>
      <w:lvlText w:val="o"/>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7D8CAF4">
      <w:start w:val="1"/>
      <w:numFmt w:val="bullet"/>
      <w:lvlText w:val="▪"/>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DD7066"/>
    <w:multiLevelType w:val="hybridMultilevel"/>
    <w:tmpl w:val="7E7E4B72"/>
    <w:lvl w:ilvl="0" w:tplc="CE1EFEAA">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2012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B6023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EC78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286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EEE57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343A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2E64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90D5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A54DFA"/>
    <w:multiLevelType w:val="hybridMultilevel"/>
    <w:tmpl w:val="704EE42E"/>
    <w:lvl w:ilvl="0" w:tplc="7528FF60">
      <w:start w:val="1"/>
      <w:numFmt w:val="bullet"/>
      <w:lvlText w:val="•"/>
      <w:lvlJc w:val="left"/>
      <w:pPr>
        <w:ind w:left="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64542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2FFE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A605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82F3A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2641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E29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AE924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545FA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A243C1"/>
    <w:multiLevelType w:val="hybridMultilevel"/>
    <w:tmpl w:val="FFE23C50"/>
    <w:lvl w:ilvl="0" w:tplc="20B05A90">
      <w:start w:val="1"/>
      <w:numFmt w:val="bullet"/>
      <w:lvlText w:val="➢"/>
      <w:lvlJc w:val="left"/>
      <w:pPr>
        <w:ind w:left="3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63E2FF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560FE8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7602D2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0E3C7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3A882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BAAC63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454FD6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2A263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2E63DB"/>
    <w:multiLevelType w:val="hybridMultilevel"/>
    <w:tmpl w:val="43F22BD4"/>
    <w:lvl w:ilvl="0" w:tplc="D7D82C98">
      <w:start w:val="1"/>
      <w:numFmt w:val="upperRoman"/>
      <w:lvlText w:val="%1."/>
      <w:lvlJc w:val="left"/>
      <w:pPr>
        <w:ind w:left="3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98A3DF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DCE11F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9F001F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956E3C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A36FE5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A46FFC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07CB84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0185BD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6363DE"/>
    <w:multiLevelType w:val="hybridMultilevel"/>
    <w:tmpl w:val="34D6557E"/>
    <w:lvl w:ilvl="0" w:tplc="5E381ABE">
      <w:start w:val="1"/>
      <w:numFmt w:val="bullet"/>
      <w:lvlText w:val="✓"/>
      <w:lvlJc w:val="left"/>
      <w:pPr>
        <w:ind w:left="3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206971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080A48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25A1E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06FCF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20E0D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904F5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9C8B7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D214F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46528787">
    <w:abstractNumId w:val="4"/>
  </w:num>
  <w:num w:numId="2" w16cid:durableId="1870332544">
    <w:abstractNumId w:val="3"/>
  </w:num>
  <w:num w:numId="3" w16cid:durableId="1629166393">
    <w:abstractNumId w:val="2"/>
  </w:num>
  <w:num w:numId="4" w16cid:durableId="1673753831">
    <w:abstractNumId w:val="0"/>
  </w:num>
  <w:num w:numId="5" w16cid:durableId="998730470">
    <w:abstractNumId w:val="5"/>
  </w:num>
  <w:num w:numId="6" w16cid:durableId="668095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C9"/>
    <w:rsid w:val="000770D6"/>
    <w:rsid w:val="000D6780"/>
    <w:rsid w:val="00113A8E"/>
    <w:rsid w:val="001223E3"/>
    <w:rsid w:val="00124947"/>
    <w:rsid w:val="001954FF"/>
    <w:rsid w:val="001A51E0"/>
    <w:rsid w:val="001C47AF"/>
    <w:rsid w:val="001D2EBB"/>
    <w:rsid w:val="001F4CF2"/>
    <w:rsid w:val="002214F6"/>
    <w:rsid w:val="00231999"/>
    <w:rsid w:val="00256580"/>
    <w:rsid w:val="002A2077"/>
    <w:rsid w:val="00316730"/>
    <w:rsid w:val="00323EE3"/>
    <w:rsid w:val="003B2333"/>
    <w:rsid w:val="003B5991"/>
    <w:rsid w:val="003C3443"/>
    <w:rsid w:val="00423B93"/>
    <w:rsid w:val="00431AF0"/>
    <w:rsid w:val="005033AF"/>
    <w:rsid w:val="00545250"/>
    <w:rsid w:val="00556822"/>
    <w:rsid w:val="00571753"/>
    <w:rsid w:val="005D5146"/>
    <w:rsid w:val="00630D0F"/>
    <w:rsid w:val="006F47F9"/>
    <w:rsid w:val="00710270"/>
    <w:rsid w:val="007308EA"/>
    <w:rsid w:val="007548E9"/>
    <w:rsid w:val="007F43E6"/>
    <w:rsid w:val="0081774E"/>
    <w:rsid w:val="00825A5A"/>
    <w:rsid w:val="0084237C"/>
    <w:rsid w:val="0085312F"/>
    <w:rsid w:val="008B3C8A"/>
    <w:rsid w:val="008D0D9E"/>
    <w:rsid w:val="008F6CE3"/>
    <w:rsid w:val="0098417C"/>
    <w:rsid w:val="009862A4"/>
    <w:rsid w:val="0099223E"/>
    <w:rsid w:val="00A11E78"/>
    <w:rsid w:val="00A83266"/>
    <w:rsid w:val="00AB0DB0"/>
    <w:rsid w:val="00AB3BCE"/>
    <w:rsid w:val="00AE48AD"/>
    <w:rsid w:val="00B95250"/>
    <w:rsid w:val="00BE31F6"/>
    <w:rsid w:val="00BF0E21"/>
    <w:rsid w:val="00BF6ED8"/>
    <w:rsid w:val="00C23E19"/>
    <w:rsid w:val="00C47C4F"/>
    <w:rsid w:val="00C90147"/>
    <w:rsid w:val="00D127EF"/>
    <w:rsid w:val="00D26CC9"/>
    <w:rsid w:val="00D3142C"/>
    <w:rsid w:val="00DC49CD"/>
    <w:rsid w:val="00DE3684"/>
    <w:rsid w:val="00E049D0"/>
    <w:rsid w:val="00E21228"/>
    <w:rsid w:val="00F123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E9B5"/>
  <w15:docId w15:val="{FED02CF1-5EB2-49DF-9687-83F9A1B0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70" w:lineRule="auto"/>
      <w:ind w:left="10" w:right="70" w:hanging="10"/>
      <w:jc w:val="both"/>
    </w:pPr>
    <w:rPr>
      <w:rFonts w:ascii="Arial" w:eastAsia="Arial" w:hAnsi="Arial" w:cs="Arial"/>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lomakpopisa">
    <w:name w:val="List Paragraph"/>
    <w:basedOn w:val="Normal"/>
    <w:uiPriority w:val="34"/>
    <w:qFormat/>
    <w:rsid w:val="001D2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bruketa\Desktop\2.%20REBALANS\materijali%20za%20sjednicu\POMO&#262;NA%20TABLIC%20-%20GRAFIKONBook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bruketa\Desktop\2.%20REBALANS\materijali%20za%20sjednicu\POMO&#262;NA%20TABLIC%20-%20GRAFIKONBook1-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Sheet2!$B$52</c:f>
              <c:strCache>
                <c:ptCount val="1"/>
                <c:pt idx="0">
                  <c:v>PLAN 2024.</c:v>
                </c:pt>
              </c:strCache>
            </c:strRef>
          </c:tx>
          <c:spPr>
            <a:solidFill>
              <a:schemeClr val="accent1"/>
            </a:solidFill>
            <a:ln>
              <a:noFill/>
            </a:ln>
            <a:effectLst/>
          </c:spPr>
          <c:invertIfNegative val="0"/>
          <c:cat>
            <c:strRef>
              <c:f>Sheet2!$A$53:$A$61</c:f>
              <c:strCache>
                <c:ptCount val="9"/>
                <c:pt idx="0">
                  <c:v>Prihodi od poreza (61)</c:v>
                </c:pt>
                <c:pt idx="1">
                  <c:v>Pomoći (63)</c:v>
                </c:pt>
                <c:pt idx="2">
                  <c:v>Prihodi od imovine (64)</c:v>
                </c:pt>
                <c:pt idx="3">
                  <c:v>Od upravnih prist. i po pos.prop.  (65)</c:v>
                </c:pt>
                <c:pt idx="4">
                  <c:v>Od donacija (66)</c:v>
                </c:pt>
                <c:pt idx="5">
                  <c:v>Ostalo (68)</c:v>
                </c:pt>
                <c:pt idx="6">
                  <c:v>Od prodaje nefin.imovine (7)</c:v>
                </c:pt>
                <c:pt idx="7">
                  <c:v>Višak prihoda preth.god. (922)</c:v>
                </c:pt>
                <c:pt idx="8">
                  <c:v>Primici od financ.imovine  i zaduženja (8)</c:v>
                </c:pt>
              </c:strCache>
            </c:strRef>
          </c:cat>
          <c:val>
            <c:numRef>
              <c:f>Sheet2!$B$53:$B$61</c:f>
              <c:numCache>
                <c:formatCode>#,##0.00</c:formatCode>
                <c:ptCount val="9"/>
                <c:pt idx="0">
                  <c:v>2059300</c:v>
                </c:pt>
                <c:pt idx="1">
                  <c:v>1911335</c:v>
                </c:pt>
                <c:pt idx="2">
                  <c:v>278940</c:v>
                </c:pt>
                <c:pt idx="3">
                  <c:v>515003</c:v>
                </c:pt>
                <c:pt idx="4">
                  <c:v>26000</c:v>
                </c:pt>
                <c:pt idx="5">
                  <c:v>4000</c:v>
                </c:pt>
                <c:pt idx="6">
                  <c:v>188791</c:v>
                </c:pt>
                <c:pt idx="7">
                  <c:v>550571.68999999994</c:v>
                </c:pt>
                <c:pt idx="8">
                  <c:v>929059.66</c:v>
                </c:pt>
              </c:numCache>
            </c:numRef>
          </c:val>
          <c:extLst>
            <c:ext xmlns:c16="http://schemas.microsoft.com/office/drawing/2014/chart" uri="{C3380CC4-5D6E-409C-BE32-E72D297353CC}">
              <c16:uniqueId val="{00000000-815F-4818-8702-055820B08454}"/>
            </c:ext>
          </c:extLst>
        </c:ser>
        <c:ser>
          <c:idx val="1"/>
          <c:order val="1"/>
          <c:tx>
            <c:strRef>
              <c:f>Sheet2!$C$52</c:f>
              <c:strCache>
                <c:ptCount val="1"/>
                <c:pt idx="0">
                  <c:v>PRVE IZMJENE I DOPUNE 2024.</c:v>
                </c:pt>
              </c:strCache>
            </c:strRef>
          </c:tx>
          <c:spPr>
            <a:solidFill>
              <a:schemeClr val="accent2"/>
            </a:solidFill>
            <a:ln>
              <a:noFill/>
            </a:ln>
            <a:effectLst/>
          </c:spPr>
          <c:invertIfNegative val="0"/>
          <c:cat>
            <c:strRef>
              <c:f>Sheet2!$A$53:$A$61</c:f>
              <c:strCache>
                <c:ptCount val="9"/>
                <c:pt idx="0">
                  <c:v>Prihodi od poreza (61)</c:v>
                </c:pt>
                <c:pt idx="1">
                  <c:v>Pomoći (63)</c:v>
                </c:pt>
                <c:pt idx="2">
                  <c:v>Prihodi od imovine (64)</c:v>
                </c:pt>
                <c:pt idx="3">
                  <c:v>Od upravnih prist. i po pos.prop.  (65)</c:v>
                </c:pt>
                <c:pt idx="4">
                  <c:v>Od donacija (66)</c:v>
                </c:pt>
                <c:pt idx="5">
                  <c:v>Ostalo (68)</c:v>
                </c:pt>
                <c:pt idx="6">
                  <c:v>Od prodaje nefin.imovine (7)</c:v>
                </c:pt>
                <c:pt idx="7">
                  <c:v>Višak prihoda preth.god. (922)</c:v>
                </c:pt>
                <c:pt idx="8">
                  <c:v>Primici od financ.imovine  i zaduženja (8)</c:v>
                </c:pt>
              </c:strCache>
            </c:strRef>
          </c:cat>
          <c:val>
            <c:numRef>
              <c:f>Sheet2!$C$53:$C$61</c:f>
              <c:numCache>
                <c:formatCode>#,##0.00</c:formatCode>
                <c:ptCount val="9"/>
                <c:pt idx="0">
                  <c:v>2760462.81</c:v>
                </c:pt>
                <c:pt idx="1">
                  <c:v>1762244.38</c:v>
                </c:pt>
                <c:pt idx="2">
                  <c:v>318316</c:v>
                </c:pt>
                <c:pt idx="3">
                  <c:v>590800</c:v>
                </c:pt>
                <c:pt idx="4">
                  <c:v>26000</c:v>
                </c:pt>
                <c:pt idx="5">
                  <c:v>4000</c:v>
                </c:pt>
                <c:pt idx="6">
                  <c:v>188791</c:v>
                </c:pt>
                <c:pt idx="7">
                  <c:v>877885.81</c:v>
                </c:pt>
                <c:pt idx="8" formatCode="General">
                  <c:v>0</c:v>
                </c:pt>
              </c:numCache>
            </c:numRef>
          </c:val>
          <c:extLst>
            <c:ext xmlns:c16="http://schemas.microsoft.com/office/drawing/2014/chart" uri="{C3380CC4-5D6E-409C-BE32-E72D297353CC}">
              <c16:uniqueId val="{00000001-815F-4818-8702-055820B08454}"/>
            </c:ext>
          </c:extLst>
        </c:ser>
        <c:ser>
          <c:idx val="2"/>
          <c:order val="2"/>
          <c:tx>
            <c:strRef>
              <c:f>Sheet2!$D$52</c:f>
              <c:strCache>
                <c:ptCount val="1"/>
                <c:pt idx="0">
                  <c:v>DRUGE IZMJENE I DOPUNE 2024.</c:v>
                </c:pt>
              </c:strCache>
            </c:strRef>
          </c:tx>
          <c:spPr>
            <a:solidFill>
              <a:schemeClr val="accent3"/>
            </a:solidFill>
            <a:ln>
              <a:noFill/>
            </a:ln>
            <a:effectLst/>
          </c:spPr>
          <c:invertIfNegative val="0"/>
          <c:cat>
            <c:strRef>
              <c:f>Sheet2!$A$53:$A$61</c:f>
              <c:strCache>
                <c:ptCount val="9"/>
                <c:pt idx="0">
                  <c:v>Prihodi od poreza (61)</c:v>
                </c:pt>
                <c:pt idx="1">
                  <c:v>Pomoći (63)</c:v>
                </c:pt>
                <c:pt idx="2">
                  <c:v>Prihodi od imovine (64)</c:v>
                </c:pt>
                <c:pt idx="3">
                  <c:v>Od upravnih prist. i po pos.prop.  (65)</c:v>
                </c:pt>
                <c:pt idx="4">
                  <c:v>Od donacija (66)</c:v>
                </c:pt>
                <c:pt idx="5">
                  <c:v>Ostalo (68)</c:v>
                </c:pt>
                <c:pt idx="6">
                  <c:v>Od prodaje nefin.imovine (7)</c:v>
                </c:pt>
                <c:pt idx="7">
                  <c:v>Višak prihoda preth.god. (922)</c:v>
                </c:pt>
                <c:pt idx="8">
                  <c:v>Primici od financ.imovine  i zaduženja (8)</c:v>
                </c:pt>
              </c:strCache>
            </c:strRef>
          </c:cat>
          <c:val>
            <c:numRef>
              <c:f>Sheet2!$D$53:$D$61</c:f>
              <c:numCache>
                <c:formatCode>#,##0.00</c:formatCode>
                <c:ptCount val="9"/>
                <c:pt idx="0">
                  <c:v>2690365</c:v>
                </c:pt>
                <c:pt idx="1">
                  <c:v>1470000</c:v>
                </c:pt>
                <c:pt idx="2">
                  <c:v>291899.19</c:v>
                </c:pt>
                <c:pt idx="3">
                  <c:v>605800</c:v>
                </c:pt>
                <c:pt idx="4">
                  <c:v>26000</c:v>
                </c:pt>
                <c:pt idx="5">
                  <c:v>4000</c:v>
                </c:pt>
                <c:pt idx="6">
                  <c:v>6050</c:v>
                </c:pt>
                <c:pt idx="7">
                  <c:v>877885.81</c:v>
                </c:pt>
                <c:pt idx="8" formatCode="General">
                  <c:v>0</c:v>
                </c:pt>
              </c:numCache>
            </c:numRef>
          </c:val>
          <c:extLst>
            <c:ext xmlns:c16="http://schemas.microsoft.com/office/drawing/2014/chart" uri="{C3380CC4-5D6E-409C-BE32-E72D297353CC}">
              <c16:uniqueId val="{00000002-815F-4818-8702-055820B08454}"/>
            </c:ext>
          </c:extLst>
        </c:ser>
        <c:dLbls>
          <c:showLegendKey val="0"/>
          <c:showVal val="0"/>
          <c:showCatName val="0"/>
          <c:showSerName val="0"/>
          <c:showPercent val="0"/>
          <c:showBubbleSize val="0"/>
        </c:dLbls>
        <c:gapWidth val="219"/>
        <c:overlap val="-27"/>
        <c:axId val="522049272"/>
        <c:axId val="522045672"/>
      </c:barChart>
      <c:catAx>
        <c:axId val="522049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2045672"/>
        <c:crosses val="autoZero"/>
        <c:auto val="1"/>
        <c:lblAlgn val="ctr"/>
        <c:lblOffset val="100"/>
        <c:noMultiLvlLbl val="0"/>
      </c:catAx>
      <c:valAx>
        <c:axId val="522045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2049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Sheet2!$B$65</c:f>
              <c:strCache>
                <c:ptCount val="1"/>
                <c:pt idx="0">
                  <c:v>PLAN 2024.</c:v>
                </c:pt>
              </c:strCache>
            </c:strRef>
          </c:tx>
          <c:spPr>
            <a:solidFill>
              <a:schemeClr val="accent1"/>
            </a:solidFill>
            <a:ln>
              <a:noFill/>
            </a:ln>
            <a:effectLst/>
          </c:spPr>
          <c:invertIfNegative val="0"/>
          <c:cat>
            <c:strRef>
              <c:f>Sheet2!$A$66:$A$74</c:f>
              <c:strCache>
                <c:ptCount val="9"/>
                <c:pt idx="0">
                  <c:v>Rashodi za zaposlene (31)</c:v>
                </c:pt>
                <c:pt idx="1">
                  <c:v>Materijalni rashodi (32)</c:v>
                </c:pt>
                <c:pt idx="2">
                  <c:v>Financijski rashodi (34)</c:v>
                </c:pt>
                <c:pt idx="3">
                  <c:v>Subvencije (35)</c:v>
                </c:pt>
                <c:pt idx="4">
                  <c:v>Pomoći (36)</c:v>
                </c:pt>
                <c:pt idx="5">
                  <c:v>Naknade građanima i kućanstvima (37)</c:v>
                </c:pt>
                <c:pt idx="6">
                  <c:v>Ostali rashodi (38)</c:v>
                </c:pt>
                <c:pt idx="7">
                  <c:v>Rashodi za nabavu nef. Imovine  (4)</c:v>
                </c:pt>
                <c:pt idx="8">
                  <c:v>Izdaci za otplatu glavnice primljenih kredita i zajmova</c:v>
                </c:pt>
              </c:strCache>
            </c:strRef>
          </c:cat>
          <c:val>
            <c:numRef>
              <c:f>Sheet2!$B$66:$B$74</c:f>
              <c:numCache>
                <c:formatCode>#,##0</c:formatCode>
                <c:ptCount val="9"/>
                <c:pt idx="0" formatCode="#,##0.00">
                  <c:v>367936</c:v>
                </c:pt>
                <c:pt idx="1">
                  <c:v>1125110</c:v>
                </c:pt>
                <c:pt idx="2" formatCode="#,##0.00">
                  <c:v>29143</c:v>
                </c:pt>
                <c:pt idx="3" formatCode="#,##0.00">
                  <c:v>213300</c:v>
                </c:pt>
                <c:pt idx="4" formatCode="#,##0.00">
                  <c:v>70200</c:v>
                </c:pt>
                <c:pt idx="5" formatCode="#,##0.00">
                  <c:v>645100</c:v>
                </c:pt>
                <c:pt idx="6" formatCode="#,##0.00">
                  <c:v>446263</c:v>
                </c:pt>
                <c:pt idx="7" formatCode="#,##0.00">
                  <c:v>3343370</c:v>
                </c:pt>
                <c:pt idx="8" formatCode="#,##0.00">
                  <c:v>222578</c:v>
                </c:pt>
              </c:numCache>
            </c:numRef>
          </c:val>
          <c:extLst>
            <c:ext xmlns:c16="http://schemas.microsoft.com/office/drawing/2014/chart" uri="{C3380CC4-5D6E-409C-BE32-E72D297353CC}">
              <c16:uniqueId val="{00000000-C91A-483F-9F61-631AC84099C8}"/>
            </c:ext>
          </c:extLst>
        </c:ser>
        <c:ser>
          <c:idx val="1"/>
          <c:order val="1"/>
          <c:tx>
            <c:strRef>
              <c:f>Sheet2!$C$65</c:f>
              <c:strCache>
                <c:ptCount val="1"/>
                <c:pt idx="0">
                  <c:v>PRVE IZMJENE I DOPUNE 2024.</c:v>
                </c:pt>
              </c:strCache>
            </c:strRef>
          </c:tx>
          <c:spPr>
            <a:solidFill>
              <a:schemeClr val="accent2"/>
            </a:solidFill>
            <a:ln>
              <a:noFill/>
            </a:ln>
            <a:effectLst/>
          </c:spPr>
          <c:invertIfNegative val="0"/>
          <c:cat>
            <c:strRef>
              <c:f>Sheet2!$A$66:$A$74</c:f>
              <c:strCache>
                <c:ptCount val="9"/>
                <c:pt idx="0">
                  <c:v>Rashodi za zaposlene (31)</c:v>
                </c:pt>
                <c:pt idx="1">
                  <c:v>Materijalni rashodi (32)</c:v>
                </c:pt>
                <c:pt idx="2">
                  <c:v>Financijski rashodi (34)</c:v>
                </c:pt>
                <c:pt idx="3">
                  <c:v>Subvencije (35)</c:v>
                </c:pt>
                <c:pt idx="4">
                  <c:v>Pomoći (36)</c:v>
                </c:pt>
                <c:pt idx="5">
                  <c:v>Naknade građanima i kućanstvima (37)</c:v>
                </c:pt>
                <c:pt idx="6">
                  <c:v>Ostali rashodi (38)</c:v>
                </c:pt>
                <c:pt idx="7">
                  <c:v>Rashodi za nabavu nef. Imovine  (4)</c:v>
                </c:pt>
                <c:pt idx="8">
                  <c:v>Izdaci za otplatu glavnice primljenih kredita i zajmova</c:v>
                </c:pt>
              </c:strCache>
            </c:strRef>
          </c:cat>
          <c:val>
            <c:numRef>
              <c:f>Sheet2!$C$66:$C$74</c:f>
              <c:numCache>
                <c:formatCode>#,##0.00</c:formatCode>
                <c:ptCount val="9"/>
                <c:pt idx="0">
                  <c:v>416265</c:v>
                </c:pt>
                <c:pt idx="1">
                  <c:v>1277512</c:v>
                </c:pt>
                <c:pt idx="2">
                  <c:v>30904</c:v>
                </c:pt>
                <c:pt idx="3">
                  <c:v>291000</c:v>
                </c:pt>
                <c:pt idx="4">
                  <c:v>25200</c:v>
                </c:pt>
                <c:pt idx="5">
                  <c:v>692240</c:v>
                </c:pt>
                <c:pt idx="6">
                  <c:v>494713</c:v>
                </c:pt>
                <c:pt idx="7">
                  <c:v>3062664</c:v>
                </c:pt>
                <c:pt idx="8">
                  <c:v>238002</c:v>
                </c:pt>
              </c:numCache>
            </c:numRef>
          </c:val>
          <c:extLst>
            <c:ext xmlns:c16="http://schemas.microsoft.com/office/drawing/2014/chart" uri="{C3380CC4-5D6E-409C-BE32-E72D297353CC}">
              <c16:uniqueId val="{00000001-C91A-483F-9F61-631AC84099C8}"/>
            </c:ext>
          </c:extLst>
        </c:ser>
        <c:ser>
          <c:idx val="2"/>
          <c:order val="2"/>
          <c:tx>
            <c:strRef>
              <c:f>Sheet2!$D$65</c:f>
              <c:strCache>
                <c:ptCount val="1"/>
                <c:pt idx="0">
                  <c:v>DRUGE IZMJENE I DOPUNE 2024.</c:v>
                </c:pt>
              </c:strCache>
            </c:strRef>
          </c:tx>
          <c:spPr>
            <a:solidFill>
              <a:schemeClr val="accent3"/>
            </a:solidFill>
            <a:ln>
              <a:noFill/>
            </a:ln>
            <a:effectLst/>
          </c:spPr>
          <c:invertIfNegative val="0"/>
          <c:cat>
            <c:strRef>
              <c:f>Sheet2!$A$66:$A$74</c:f>
              <c:strCache>
                <c:ptCount val="9"/>
                <c:pt idx="0">
                  <c:v>Rashodi za zaposlene (31)</c:v>
                </c:pt>
                <c:pt idx="1">
                  <c:v>Materijalni rashodi (32)</c:v>
                </c:pt>
                <c:pt idx="2">
                  <c:v>Financijski rashodi (34)</c:v>
                </c:pt>
                <c:pt idx="3">
                  <c:v>Subvencije (35)</c:v>
                </c:pt>
                <c:pt idx="4">
                  <c:v>Pomoći (36)</c:v>
                </c:pt>
                <c:pt idx="5">
                  <c:v>Naknade građanima i kućanstvima (37)</c:v>
                </c:pt>
                <c:pt idx="6">
                  <c:v>Ostali rashodi (38)</c:v>
                </c:pt>
                <c:pt idx="7">
                  <c:v>Rashodi za nabavu nef. Imovine  (4)</c:v>
                </c:pt>
                <c:pt idx="8">
                  <c:v>Izdaci za otplatu glavnice primljenih kredita i zajmova</c:v>
                </c:pt>
              </c:strCache>
            </c:strRef>
          </c:cat>
          <c:val>
            <c:numRef>
              <c:f>Sheet2!$D$66:$D$74</c:f>
              <c:numCache>
                <c:formatCode>#,##0.00</c:formatCode>
                <c:ptCount val="9"/>
                <c:pt idx="0">
                  <c:v>404100</c:v>
                </c:pt>
                <c:pt idx="1">
                  <c:v>1333977</c:v>
                </c:pt>
                <c:pt idx="2">
                  <c:v>31404</c:v>
                </c:pt>
                <c:pt idx="3">
                  <c:v>291000</c:v>
                </c:pt>
                <c:pt idx="4">
                  <c:v>25200</c:v>
                </c:pt>
                <c:pt idx="5">
                  <c:v>686440</c:v>
                </c:pt>
                <c:pt idx="6">
                  <c:v>485513</c:v>
                </c:pt>
                <c:pt idx="7">
                  <c:v>2476364</c:v>
                </c:pt>
                <c:pt idx="8">
                  <c:v>238002</c:v>
                </c:pt>
              </c:numCache>
            </c:numRef>
          </c:val>
          <c:extLst>
            <c:ext xmlns:c16="http://schemas.microsoft.com/office/drawing/2014/chart" uri="{C3380CC4-5D6E-409C-BE32-E72D297353CC}">
              <c16:uniqueId val="{00000002-C91A-483F-9F61-631AC84099C8}"/>
            </c:ext>
          </c:extLst>
        </c:ser>
        <c:dLbls>
          <c:showLegendKey val="0"/>
          <c:showVal val="0"/>
          <c:showCatName val="0"/>
          <c:showSerName val="0"/>
          <c:showPercent val="0"/>
          <c:showBubbleSize val="0"/>
        </c:dLbls>
        <c:gapWidth val="219"/>
        <c:overlap val="-27"/>
        <c:axId val="522051072"/>
        <c:axId val="522047112"/>
      </c:barChart>
      <c:catAx>
        <c:axId val="52205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2047112"/>
        <c:crosses val="autoZero"/>
        <c:auto val="1"/>
        <c:lblAlgn val="ctr"/>
        <c:lblOffset val="100"/>
        <c:noMultiLvlLbl val="0"/>
      </c:catAx>
      <c:valAx>
        <c:axId val="5220471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2051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2824</Words>
  <Characters>16102</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dc:creator>
  <cp:keywords/>
  <cp:lastModifiedBy>Martina Perhat</cp:lastModifiedBy>
  <cp:revision>3</cp:revision>
  <dcterms:created xsi:type="dcterms:W3CDTF">2024-11-05T17:27:00Z</dcterms:created>
  <dcterms:modified xsi:type="dcterms:W3CDTF">2024-11-15T13:48:00Z</dcterms:modified>
</cp:coreProperties>
</file>