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E0A1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Na temelju članka 86. stavak 3. Zakona o prostornom uređenju (,,Narodne novine“, broj 153/13., 65/17., 114/18., 39/19., 98/19. i 67/23.) i članka 33. stavka 1. točka 19. Statuta Općine Jelenje („Službene novine Općine Jelenje“ broj 59/23.), Općinsko vijeće Općine Jelenje na 21. sjednici održanoj 20. rujna 2024. godine donijelo je</w:t>
      </w:r>
    </w:p>
    <w:p w14:paraId="3E313E3B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ODLUKU</w:t>
      </w:r>
    </w:p>
    <w:p w14:paraId="022D2AB0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o provođenju postupka stavljanja izvan snage</w:t>
      </w:r>
    </w:p>
    <w:p w14:paraId="19CB5FD5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bookmarkStart w:id="0" w:name="_Hlk174295452"/>
      <w:r>
        <w:rPr>
          <w:rFonts w:ascii="Arial" w:eastAsia="Aptos" w:hAnsi="Arial"/>
          <w:b/>
          <w:bCs/>
        </w:rPr>
        <w:t>Detaljnog plana uređenja areala „ELMAR – k. č. 1805/6 k. o. Dražice“</w:t>
      </w:r>
    </w:p>
    <w:p w14:paraId="2A282335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 xml:space="preserve">u Ul. Obrovac u Dražicama </w:t>
      </w:r>
    </w:p>
    <w:bookmarkEnd w:id="0"/>
    <w:p w14:paraId="60DB74E7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5E20BB27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OPĆE ODREDBE</w:t>
      </w:r>
    </w:p>
    <w:p w14:paraId="28B89CF6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1.</w:t>
      </w:r>
    </w:p>
    <w:p w14:paraId="4D6A6262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 xml:space="preserve">(1) Donosi se Odluka o pokretanju postupka stavljanja izvan snage </w:t>
      </w:r>
      <w:r>
        <w:rPr>
          <w:rFonts w:ascii="Arial" w:eastAsia="Aptos" w:hAnsi="Arial"/>
          <w:lang w:eastAsia="hr-HR" w:bidi="hr-HR"/>
        </w:rPr>
        <w:t>Detaljnog plana uređenja areala „ELMAR – k. č. 1805/6 k. o. Dražice“ u Ul. Obrovac u Dražicama („Službene novine Primorsko-goranske županije“ br. 18/02.)</w:t>
      </w:r>
      <w:r>
        <w:rPr>
          <w:rFonts w:ascii="Arial" w:eastAsia="Aptos" w:hAnsi="Arial"/>
        </w:rPr>
        <w:t xml:space="preserve"> - u daljnjem tekstu: Plan.</w:t>
      </w:r>
    </w:p>
    <w:p w14:paraId="054D1B5A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(2) Nositelj izrade izmjene i dopune Plana je Općina Jelenje, Jedinstveni upravni odjel, u daljnjem tekstu: Nositelj izrade.</w:t>
      </w:r>
    </w:p>
    <w:p w14:paraId="7A1F05B0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(3) Odgovorna osoba Nositelja izrade je čelnik tijela iz stavka 2. ovoga članka.</w:t>
      </w:r>
    </w:p>
    <w:p w14:paraId="132A2168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52505EFC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PRAVNA OSNOVA</w:t>
      </w:r>
    </w:p>
    <w:p w14:paraId="7058B8F8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2.</w:t>
      </w:r>
    </w:p>
    <w:p w14:paraId="16BCF09E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(1) Postupak stavljanja Plana izvan snage voditi će se sukladno odredbama članka 86., 89., 113. i 198. Zakona o prostornom uređenju (,,Narodne novine“, broj 153/13., 65/17., 114/18., 39/19., 98/19. i 67/23.), u daljnjem tekstu: Zakon.</w:t>
      </w:r>
    </w:p>
    <w:p w14:paraId="69678DE0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(2) Prostornim planom uređenja Općine Jelenje ("Službene novine Primorsko-goranske županije", broj 40/07., 15/11., 37/12.-ispr., 38/14 i 09/17. i ''Službene novine Općine Jelenje'', broj 05/18 - ispravak,14/18, 20/19-proč.tekst i 58/23) je u stavku 2, članka 148. utvrđeno da ovaj Plan treba staviti izvan snage.</w:t>
      </w:r>
    </w:p>
    <w:p w14:paraId="44BAB838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(3) U skladu s člankom 86. Zakona, prije donošenja ove Odluke je, sukladno posebnim propisima kojima se uređuje zaštita okoliša i prirode, pribavljeno mišljenje Upravnog odjela za prostorno uređenje, graditeljstvo i zaštitu okoliša Primorsko-goranske županije o potrebi provedbe postupka ocjene odnosno strateške procjene utjecaja na okoliš za stavljanja izvan snage Detaljnog plana uređenja areala „ELMAR – k. č. 1805/6 k. o. Dražice“ u Ul. Obrovac u Dražicama („Službene novine Primorsko-goranske županije“ br. 18/02), o kojem zahtjevu je navedeno tijelo donijelo Mišljenje KLASA: 351-01/24-04/57, URBROJ: 2170-03-08/4-24-2 od 13. rujna 2024. godine.</w:t>
      </w:r>
    </w:p>
    <w:p w14:paraId="4A3A211F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331587DE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RAZLOZI ZA STAVLJANJE IZVAN SNAGE PLANA</w:t>
      </w:r>
    </w:p>
    <w:p w14:paraId="5C0A0ED0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lastRenderedPageBreak/>
        <w:t>Članak 3.</w:t>
      </w:r>
    </w:p>
    <w:p w14:paraId="08E72020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 xml:space="preserve">Razlozi za stavljanje Plana izvan snage su neusklađenost Plana s prostornim planom šireg područja, odnosno s Prostornim planom uređenja Općine Jelenje ("Službene novine Primorsko-goranske županije", broj 40/07., 15/11., 37/12.-ispr., 38/14 i 09/17. i ''Službene novine Općine Jelenje'', broj 05/18 - ispravak,14/18, 20/19-proč.tekst i 58/23) (dalje u tekstu PPUO Jelenje). Zbog ispravnosti u provedbi se Plan mora staviti izvan snage. </w:t>
      </w:r>
    </w:p>
    <w:p w14:paraId="25C827F2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 xml:space="preserve">Plan je izrađen 2002. godine te je građevina na k.č. 1805/6 k. o. Dražice izgrađena. Stavljanjem Plana izvan snage biti će omogućena provedba svih zahvata u prostoru koji su određeni odredbama PPUO Jelenje. Planom višeg reda je na navedenom području omogućena neposredna provedba, te nema potrebe izrade izmjene i dopune Plana odnosno izrade novog urbanističkog plana za ovo područje. </w:t>
      </w:r>
    </w:p>
    <w:p w14:paraId="0AB12ADC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49C5F963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OBUHVAT PLANA</w:t>
      </w:r>
    </w:p>
    <w:p w14:paraId="4AFD1F09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4.</w:t>
      </w:r>
    </w:p>
    <w:p w14:paraId="6B9C6E77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Postupak stavljanja Plana izvan snage odnosi se za cijeli obuhvat Plana. Površina obuhvata iznosi cca. 0,2 ha, a odnosi se na k. č. 1805/6 k. o. Dražice“ u Ul. Obrovac u Dražicama.</w:t>
      </w:r>
    </w:p>
    <w:p w14:paraId="6B46AF08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11B5C404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OCJENA STANJA U OBUHVATU PLANA</w:t>
      </w:r>
    </w:p>
    <w:p w14:paraId="052D758B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5.</w:t>
      </w:r>
    </w:p>
    <w:p w14:paraId="3C030FCA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 xml:space="preserve">Stanje u obuhvatu plana je u potpunosti izgrađeno. Unutar obuhvata Plana je izgrađena građevina poslovne namjene. </w:t>
      </w:r>
    </w:p>
    <w:p w14:paraId="5C819E5C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73A5116D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 xml:space="preserve">CILJEVI I PROGRAMSKA POLAZIŠTA ZA STAVLJANJE PLANA IZVAN SNAGE </w:t>
      </w:r>
    </w:p>
    <w:p w14:paraId="1E9A72EB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 xml:space="preserve">Članak 6. </w:t>
      </w:r>
    </w:p>
    <w:p w14:paraId="26375FA3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Ciljevi i programska polazišta za provođenje postupka stavljanja izvan snage Plana istovjetni su razlozima za stavljanje izvan snage Plana, a koji su utvrđeni u članku 3. ove Odluke.</w:t>
      </w:r>
    </w:p>
    <w:p w14:paraId="355CC7E2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436CF082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POPIS POTREBNIH STRUČNIH PODLOGA POTREBNIH ZA IZRADU PLANA</w:t>
      </w:r>
    </w:p>
    <w:p w14:paraId="45538909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7.</w:t>
      </w:r>
    </w:p>
    <w:p w14:paraId="30BD07FF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Za provedbu postupka stavljanja Plana izvan snage nisu potrebne posebne stručne podloge.</w:t>
      </w:r>
    </w:p>
    <w:p w14:paraId="5EE8806D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1893B7AE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NAČIN PRIBAVLJANJA STRUČNIH RJEŠENJA</w:t>
      </w:r>
    </w:p>
    <w:p w14:paraId="75FA5F21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8.</w:t>
      </w:r>
    </w:p>
    <w:p w14:paraId="21207BC9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Za provedbu postupka stavljanja Plana izvan snage nisu potrebna posebna stručna  rješenja.</w:t>
      </w:r>
    </w:p>
    <w:p w14:paraId="76399F2A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1B9C0399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lastRenderedPageBreak/>
        <w:t>VRSTA I NAČIN PRIBAVLJANJA KARTOGRAFSKIH PODLOGA</w:t>
      </w:r>
    </w:p>
    <w:p w14:paraId="4B42C971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9.</w:t>
      </w:r>
    </w:p>
    <w:p w14:paraId="5C36CB1E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Za provedbu postupka stavljanja Plana izvan snage nisu potrebne kartografske podloge.</w:t>
      </w:r>
    </w:p>
    <w:p w14:paraId="3D1B1A49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53CC3AEF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POPIS TIJELA I OSOBA ODREĐENIH POSEBNIM PROPISIMA, KOJA DAJU ZAHTJEVE ZA IZRADU PLANA IZ PODRUČJA SVOG DJELOKRUGA, TE DRUGIH SUDIONIKA KOJI ĆE SUDJELOVATI U STAVLJANJU IZVAN SNAGE PLANA</w:t>
      </w:r>
    </w:p>
    <w:p w14:paraId="5CFDC98D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10.</w:t>
      </w:r>
    </w:p>
    <w:p w14:paraId="0F2A0130" w14:textId="77777777" w:rsidR="00073354" w:rsidRDefault="00000000" w:rsidP="00073354">
      <w:pPr>
        <w:suppressAutoHyphens w:val="0"/>
        <w:spacing w:before="180" w:after="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Tijela i osobe koja za potrebe stavljanja izvan snage Plana sudjeluju u postupku:</w:t>
      </w:r>
    </w:p>
    <w:p w14:paraId="597C558B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Primorsko-goranska županija, Upravni odjel za prostorno uređenje, graditeljstvo i zaštitu okoliša, HR-51000 Rijeka, Riva 10/III.</w:t>
      </w:r>
    </w:p>
    <w:p w14:paraId="11EA9DCD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Ministarstvo prostornoga uređenja, graditeljstva i državne imovine, Uprava za prostorno uređenje i dozvole državnog značaja, HR-10000 Zagreb, Ulica Republike Austrije 14.</w:t>
      </w:r>
    </w:p>
    <w:p w14:paraId="70B46EF4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Ministarstvo obrane, Uprava za materijalne resurse, Sektor za vojnu infrastrukturu i zaštitu okoliša, Služba za vojno graditeljstvo i energetsku učinkovitost, HR-10000 Zagreb, Trg kralja Petra Krešimira IV 1.</w:t>
      </w:r>
    </w:p>
    <w:p w14:paraId="55116A4B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Ministarstvo unutarnjih poslova, Ravnateljstvo civilne zaštite, Područni ured civilne zaštite Rijeka, Služba inspekcijskih poslova Rijeka, HR-51000 Rijeka, Fiorela la Guardia 13.</w:t>
      </w:r>
    </w:p>
    <w:p w14:paraId="1827AF91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Ministarstvo zaštite okoliša i zelene tranzicije, Uprava za zaštitu prirode, HR-10000 Zagreb, Radnička cesta 80.</w:t>
      </w:r>
    </w:p>
    <w:p w14:paraId="45870BDE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Ministarstvo kulture i medija, Uprava za zaštitu kulturne baštine, Konzervatorski odjel u Rijeci, HR-51000 Rijeka, Užarska 26.</w:t>
      </w:r>
    </w:p>
    <w:p w14:paraId="68DF1458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Javna ustanova Zavod za prostorno uređenje Primorsko-goranske županije, HR-51000 Rijeka, Splitska 2.</w:t>
      </w:r>
    </w:p>
    <w:p w14:paraId="511C65DC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Komunalno društvo Čistoća d.o.o., HR-51000 Rijeka, Dolac 14.</w:t>
      </w:r>
    </w:p>
    <w:p w14:paraId="497C865B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Komunalno društvo Jelenje j.d.o.o. · Adresa: Dražičkih boraca 55</w:t>
      </w:r>
    </w:p>
    <w:p w14:paraId="493B3E4E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Hrvatske vode, VGO za slivove sjevernoga Jadrana, HR-51000 Rijeka, Đure Šporera 3.</w:t>
      </w:r>
    </w:p>
    <w:p w14:paraId="00D209BC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KD VODOVOD I KANALIZACIJA d.o.o., HR-51000 Rijeka, Dolac 14.</w:t>
      </w:r>
    </w:p>
    <w:p w14:paraId="14CC2B25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Hrvatske ceste d.o.o., Sektor za održavanje i promet, Poslovna jedinica Rijeka, Tehnička ispostava Rijeka, HR-51000 Rijeka, Nikole Tesle 9/IX.</w:t>
      </w:r>
    </w:p>
    <w:p w14:paraId="779FE69B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Županijska uprava za ceste Primorsko-goranske županije, HR-51000 Rijeka, Nikole Tesle 9/X.</w:t>
      </w:r>
    </w:p>
    <w:p w14:paraId="4C5ECE8B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Hrvatska regulatorna agencija za mrežne djelatnosti, HR-10110 Zagreb, Ulica Roberta Frangeša Mihanovića 9.</w:t>
      </w:r>
    </w:p>
    <w:p w14:paraId="6C2680E3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HEP-Operator distribucijskog sustava d.o.o., Elektroprimorje Rijeka, HR-51000 Rijeka, Viktora Cara Emina 2.</w:t>
      </w:r>
    </w:p>
    <w:p w14:paraId="1C2B6EDE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Hrvatski operator prijenosnog sustava d.d., Prijenosno područje Rijeka, HR-51211 Matulji, Marinčićeva ulica 3.</w:t>
      </w:r>
    </w:p>
    <w:p w14:paraId="4948EB6D" w14:textId="77777777" w:rsidR="00073354" w:rsidRDefault="00000000" w:rsidP="00073354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ENERGO d.o.o., HR-51000 Rijeka, Dolac 14.</w:t>
      </w:r>
    </w:p>
    <w:p w14:paraId="0D7C97F5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(2) Ako se prilikom provođenja postupka stavljanja izvan snage Plana ukaže potreba, u postupak se mogu uključiti i drugi sudionici.</w:t>
      </w:r>
    </w:p>
    <w:p w14:paraId="7FDE3FEE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lastRenderedPageBreak/>
        <w:t>(3) Rok za dostavu zahtjeva iz stavka (1) je 15 dana od zaprimanja poziva za dostavu zahtjeva. Ukoliko javnopravno tijelo odnosno pravna osoba ne dostavi zahtjeve u roku, smatra se da zahtjeva nema.</w:t>
      </w:r>
    </w:p>
    <w:p w14:paraId="0C479AEE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(4) Zahtjevi za izradu izmjene i dopune Plana dostavljaju se na sljedeći način: elektroničkim putem, putem pošte i osobnom dostavom.</w:t>
      </w:r>
    </w:p>
    <w:p w14:paraId="320F4D8A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101E8000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DINAMIKA STAVLJANJA IZVAN SNAGE PLANA S FAZAMA POSTUPKA I ROKOVI</w:t>
      </w:r>
    </w:p>
    <w:p w14:paraId="7D2143CF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11.</w:t>
      </w:r>
    </w:p>
    <w:p w14:paraId="003344CE" w14:textId="77777777" w:rsidR="00073354" w:rsidRDefault="00000000" w:rsidP="00073354">
      <w:pPr>
        <w:suppressAutoHyphens w:val="0"/>
        <w:spacing w:before="180" w:after="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(1) Dinamika stavljanja izvan snage Plana po fazama:</w:t>
      </w:r>
    </w:p>
    <w:p w14:paraId="49E335D4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Obavještavanje javnosti o provođenju postupka stavljanja Plana izvan snage objavom ove Odluke sukladno članku 88. Zakona.</w:t>
      </w:r>
    </w:p>
    <w:p w14:paraId="2C94D930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  <w:lang w:eastAsia="hr-HR"/>
        </w:rPr>
        <w:t xml:space="preserve">Dostava zahtjeva za stavljanje Plana izvan snage u roku od najviše </w:t>
      </w:r>
      <w:r>
        <w:rPr>
          <w:rFonts w:ascii="Arial" w:eastAsia="Aptos" w:hAnsi="Arial"/>
        </w:rPr>
        <w:t xml:space="preserve">15 </w:t>
      </w:r>
      <w:r>
        <w:rPr>
          <w:rFonts w:ascii="Arial" w:eastAsia="Aptos" w:hAnsi="Arial"/>
          <w:lang w:eastAsia="hr-HR"/>
        </w:rPr>
        <w:t>dana od dana</w:t>
      </w:r>
      <w:r>
        <w:rPr>
          <w:rFonts w:ascii="Arial" w:eastAsia="Aptos" w:hAnsi="Arial"/>
        </w:rPr>
        <w:t xml:space="preserve"> zaprimanja Odluke s pozivom na dostavu zahtjeva.</w:t>
      </w:r>
    </w:p>
    <w:p w14:paraId="655CE020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Izrada nacrta prijedloga Odluke o stavljanju Plana izvan snage 30 dana od isteka roka za dostavu zahtjeva javnopravnih tijela.</w:t>
      </w:r>
    </w:p>
    <w:p w14:paraId="370F15B9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Utvrđivanje prijedloga Odluke o stavljanju Plana izvan snage.</w:t>
      </w:r>
    </w:p>
    <w:p w14:paraId="58C13BD6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Provedba javne rasprave o prijedlogu Odluke o stavljanju Plana izvan snage u trajanju od 8 dana</w:t>
      </w:r>
    </w:p>
    <w:p w14:paraId="08217496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Izrada izvješća o javnoj raspravi u roku od 15 dana od isteka roka za davanje primjedbi.</w:t>
      </w:r>
    </w:p>
    <w:p w14:paraId="06824AEE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Izrada nacrta konačnog prijedloga Odluke o stavljanju Plana izvan snage u roku od 15 dana od izrade izvješća o javnoj raspravi.</w:t>
      </w:r>
    </w:p>
    <w:p w14:paraId="4F8134EC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Utvrđivanje konačnog prijedloga Odluke o stavljanju izvan snage Plana.</w:t>
      </w:r>
    </w:p>
    <w:p w14:paraId="2AD81EDF" w14:textId="77777777" w:rsidR="00073354" w:rsidRDefault="00000000" w:rsidP="00073354">
      <w:pPr>
        <w:numPr>
          <w:ilvl w:val="0"/>
          <w:numId w:val="4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eastAsia="Aptos" w:hAnsi="Arial"/>
        </w:rPr>
      </w:pPr>
      <w:r>
        <w:rPr>
          <w:rFonts w:ascii="Arial" w:eastAsia="Aptos" w:hAnsi="Arial"/>
        </w:rPr>
        <w:t>Donošenje i objava Odluke o stavljanju izvan snage Plana.</w:t>
      </w:r>
    </w:p>
    <w:p w14:paraId="40252262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6BA4ED7B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IZVORI FINANCIRANJA IZRADE PROSTORNOG PLANA</w:t>
      </w:r>
    </w:p>
    <w:p w14:paraId="31376665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12.</w:t>
      </w:r>
    </w:p>
    <w:p w14:paraId="355FFAF2" w14:textId="77777777" w:rsid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Postupak stavljanja Plana izvan snage financira se iz Proračuna Općine Jelenje.</w:t>
      </w:r>
    </w:p>
    <w:p w14:paraId="3E2AEFFA" w14:textId="77777777" w:rsidR="00073354" w:rsidRDefault="00073354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</w:p>
    <w:p w14:paraId="10453066" w14:textId="77777777" w:rsidR="00073354" w:rsidRDefault="00000000" w:rsidP="00073354">
      <w:pPr>
        <w:suppressAutoHyphens w:val="0"/>
        <w:spacing w:before="180" w:after="0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ZAVRŠNE ODREDBE</w:t>
      </w:r>
    </w:p>
    <w:p w14:paraId="495E8615" w14:textId="77777777" w:rsidR="00073354" w:rsidRDefault="00000000" w:rsidP="00073354">
      <w:pPr>
        <w:suppressAutoHyphens w:val="0"/>
        <w:spacing w:before="180" w:after="0"/>
        <w:jc w:val="center"/>
        <w:rPr>
          <w:rFonts w:ascii="Arial" w:eastAsia="Aptos" w:hAnsi="Arial"/>
          <w:b/>
          <w:bCs/>
        </w:rPr>
      </w:pPr>
      <w:r>
        <w:rPr>
          <w:rFonts w:ascii="Arial" w:eastAsia="Aptos" w:hAnsi="Arial"/>
          <w:b/>
          <w:bCs/>
        </w:rPr>
        <w:t>Članak 13.</w:t>
      </w:r>
    </w:p>
    <w:p w14:paraId="653C934B" w14:textId="3C580494" w:rsidR="00073354" w:rsidRPr="00073354" w:rsidRDefault="00000000" w:rsidP="00073354">
      <w:pPr>
        <w:suppressAutoHyphens w:val="0"/>
        <w:spacing w:before="180" w:after="160"/>
        <w:jc w:val="both"/>
        <w:rPr>
          <w:rFonts w:ascii="Arial" w:eastAsia="Aptos" w:hAnsi="Arial"/>
        </w:rPr>
      </w:pPr>
      <w:r>
        <w:rPr>
          <w:rFonts w:ascii="Arial" w:eastAsia="Aptos" w:hAnsi="Arial"/>
        </w:rPr>
        <w:t>Ova Odluka stupa na snagu danom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5B2A4B" w14:paraId="5E8963B7" w14:textId="77777777" w:rsidTr="00172C26">
        <w:tc>
          <w:tcPr>
            <w:tcW w:w="1023" w:type="dxa"/>
            <w:hideMark/>
          </w:tcPr>
          <w:p w14:paraId="5FEB87F9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69CC5297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5B2A4B" w14:paraId="38A65706" w14:textId="77777777" w:rsidTr="00172C26">
        <w:tc>
          <w:tcPr>
            <w:tcW w:w="1023" w:type="dxa"/>
            <w:hideMark/>
          </w:tcPr>
          <w:p w14:paraId="57C33CCB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7800255D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2170-20-03-03/09-24-8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5B2A4B" w14:paraId="5FA0F15A" w14:textId="77777777" w:rsidTr="00172C26">
        <w:tc>
          <w:tcPr>
            <w:tcW w:w="1023" w:type="dxa"/>
            <w:hideMark/>
          </w:tcPr>
          <w:p w14:paraId="60654CEE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94538CE" w14:textId="77777777" w:rsidR="00073354" w:rsidRPr="004807FC" w:rsidRDefault="00000000" w:rsidP="00172C26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683570FD" w14:textId="77777777" w:rsidR="00073354" w:rsidRDefault="00073354" w:rsidP="00073354">
      <w:pPr>
        <w:suppressAutoHyphens w:val="0"/>
        <w:spacing w:before="180" w:after="160"/>
        <w:rPr>
          <w:rFonts w:ascii="Arial" w:eastAsia="Aptos" w:hAnsi="Arial"/>
        </w:rPr>
      </w:pPr>
    </w:p>
    <w:p w14:paraId="5E216E01" w14:textId="598F4420" w:rsidR="00073354" w:rsidRDefault="00000000" w:rsidP="00073354">
      <w:pPr>
        <w:suppressAutoHyphens w:val="0"/>
        <w:spacing w:before="180" w:after="160"/>
        <w:jc w:val="right"/>
        <w:rPr>
          <w:rFonts w:ascii="Arial" w:eastAsia="Aptos" w:hAnsi="Arial"/>
        </w:rPr>
      </w:pPr>
      <w:r>
        <w:rPr>
          <w:rFonts w:ascii="Arial" w:eastAsia="Aptos" w:hAnsi="Arial"/>
        </w:rPr>
        <w:t>PREDSJEDNICA OPĆINSKOG VIJEĆA</w:t>
      </w:r>
    </w:p>
    <w:p w14:paraId="43861646" w14:textId="77777777" w:rsidR="00073354" w:rsidRDefault="00000000" w:rsidP="00073354">
      <w:pPr>
        <w:suppressAutoHyphens w:val="0"/>
        <w:spacing w:before="180" w:after="160"/>
        <w:jc w:val="right"/>
        <w:rPr>
          <w:rFonts w:ascii="Arial" w:eastAsia="Aptos" w:hAnsi="Arial"/>
        </w:rPr>
      </w:pPr>
      <w:r>
        <w:rPr>
          <w:rFonts w:ascii="Arial" w:eastAsia="Aptos" w:hAnsi="Arial"/>
        </w:rPr>
        <w:t>OPĆINE JELENJE</w:t>
      </w:r>
    </w:p>
    <w:p w14:paraId="029B44FC" w14:textId="17B47769" w:rsidR="00B349D1" w:rsidRPr="00B349D1" w:rsidRDefault="00000000" w:rsidP="00073354">
      <w:pPr>
        <w:suppressAutoHyphens w:val="0"/>
        <w:spacing w:before="180" w:after="16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Aptos" w:hAnsi="Arial"/>
        </w:rPr>
        <w:t>Izabela Nemaz</w:t>
      </w: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8D80C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807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22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8C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44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00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4E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4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ED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5BD"/>
    <w:multiLevelType w:val="hybridMultilevel"/>
    <w:tmpl w:val="61FC6A2A"/>
    <w:lvl w:ilvl="0" w:tplc="D4DC8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F2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80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2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A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240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7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44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7468"/>
    <w:multiLevelType w:val="hybridMultilevel"/>
    <w:tmpl w:val="D2AEF6D0"/>
    <w:lvl w:ilvl="0" w:tplc="959AB7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158CF52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B4CA31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99B0782C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B318193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2A25D8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7E00396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EC340F3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31561BC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7A6B12"/>
    <w:multiLevelType w:val="hybridMultilevel"/>
    <w:tmpl w:val="C91A62A2"/>
    <w:lvl w:ilvl="0" w:tplc="106C46B6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2E2E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6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D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E9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67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0F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069744">
    <w:abstractNumId w:val="0"/>
  </w:num>
  <w:num w:numId="2" w16cid:durableId="1590381345">
    <w:abstractNumId w:val="2"/>
  </w:num>
  <w:num w:numId="3" w16cid:durableId="20279975">
    <w:abstractNumId w:val="1"/>
  </w:num>
  <w:num w:numId="4" w16cid:durableId="159555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73354"/>
    <w:rsid w:val="000A77E6"/>
    <w:rsid w:val="000D2A78"/>
    <w:rsid w:val="00145F1D"/>
    <w:rsid w:val="00172C26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5B2A4B"/>
    <w:rsid w:val="00666163"/>
    <w:rsid w:val="006837E4"/>
    <w:rsid w:val="0074334F"/>
    <w:rsid w:val="00760CD3"/>
    <w:rsid w:val="00800BC0"/>
    <w:rsid w:val="008674C8"/>
    <w:rsid w:val="008765B7"/>
    <w:rsid w:val="008C7BB1"/>
    <w:rsid w:val="008D74A9"/>
    <w:rsid w:val="00926781"/>
    <w:rsid w:val="00952991"/>
    <w:rsid w:val="009F552D"/>
    <w:rsid w:val="00AD49B3"/>
    <w:rsid w:val="00B349D1"/>
    <w:rsid w:val="00B634DA"/>
    <w:rsid w:val="00B87D2F"/>
    <w:rsid w:val="00BE3359"/>
    <w:rsid w:val="00BF5729"/>
    <w:rsid w:val="00C37878"/>
    <w:rsid w:val="00CA672D"/>
    <w:rsid w:val="00D2181B"/>
    <w:rsid w:val="00D32E91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2024-09-24T12:48:00Z</dcterms:created>
  <dcterms:modified xsi:type="dcterms:W3CDTF">2024-09-24T12:48:00Z</dcterms:modified>
</cp:coreProperties>
</file>