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DB1" w14:textId="77777777" w:rsidR="00F13240" w:rsidRPr="00563A48" w:rsidRDefault="00F13240" w:rsidP="00F13240">
      <w:pPr>
        <w:suppressAutoHyphens w:val="0"/>
        <w:autoSpaceDN/>
        <w:spacing w:after="12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62. stavka 1. Zakona o komunalnom gospodarstvu („Narodne novine" broj 68/18, 110/18 i 32/20)  i članka 33. stavka 1. točke 3. Statuta Općine Jelenje „Službene novine Općine Jelenje“ 59/23), Općinsko vijeće Općine Jelenje na 17. sjednici održanoj dana 21. prosinca 2023. donosi</w:t>
      </w:r>
    </w:p>
    <w:p w14:paraId="1F2AA74C" w14:textId="77777777" w:rsidR="00F13240" w:rsidRPr="00563A48" w:rsidRDefault="00F13240" w:rsidP="00F13240">
      <w:pPr>
        <w:suppressAutoHyphens w:val="0"/>
        <w:autoSpaceDN/>
        <w:spacing w:after="120"/>
        <w:ind w:left="2568" w:right="2448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260DC29" w14:textId="77777777" w:rsidR="00F13240" w:rsidRPr="00563A48" w:rsidRDefault="00F13240" w:rsidP="00F13240">
      <w:pPr>
        <w:suppressAutoHyphens w:val="0"/>
        <w:autoSpaceDN/>
        <w:spacing w:after="120"/>
        <w:ind w:left="2568" w:right="2448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ODLUKU</w:t>
      </w:r>
    </w:p>
    <w:p w14:paraId="18EAEAA9" w14:textId="77777777" w:rsidR="00F13240" w:rsidRPr="00563A48" w:rsidRDefault="00F13240" w:rsidP="00F13240">
      <w:pPr>
        <w:suppressAutoHyphens w:val="0"/>
        <w:autoSpaceDN/>
        <w:spacing w:after="120"/>
        <w:ind w:left="1134" w:right="853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 proglašenju komunalne infrastrukture javnim dobrom u općoj uporabi - Nerazvrstana cesta kod Dnevnog centra za starije osobe</w:t>
      </w:r>
    </w:p>
    <w:p w14:paraId="0739201A" w14:textId="77777777" w:rsidR="00F13240" w:rsidRPr="00563A48" w:rsidRDefault="00F13240" w:rsidP="00F13240">
      <w:pPr>
        <w:suppressAutoHyphens w:val="0"/>
        <w:autoSpaceDN/>
        <w:spacing w:after="120"/>
        <w:ind w:left="2568" w:right="2467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35913C98" w14:textId="77777777" w:rsidR="00F13240" w:rsidRPr="00563A48" w:rsidRDefault="00F13240" w:rsidP="00F13240">
      <w:pPr>
        <w:suppressAutoHyphens w:val="0"/>
        <w:autoSpaceDN/>
        <w:spacing w:after="120"/>
        <w:ind w:left="2568" w:right="2467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51A4BA39" w14:textId="77777777" w:rsidR="00F13240" w:rsidRDefault="00F13240" w:rsidP="00F13240">
      <w:pPr>
        <w:suppressAutoHyphens w:val="0"/>
        <w:autoSpaceDN/>
        <w:spacing w:after="120"/>
        <w:ind w:left="57" w:right="5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FCE6112" w14:textId="566090ED" w:rsidR="00F13240" w:rsidRPr="00563A48" w:rsidRDefault="00F13240" w:rsidP="00F13240">
      <w:pPr>
        <w:suppressAutoHyphens w:val="0"/>
        <w:autoSpaceDN/>
        <w:spacing w:after="120"/>
        <w:ind w:left="57" w:right="5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Ovom Odlukom proglašava se javnim dobrom u općoj uporabi u vlasništvu Općine Jelenje komunalna infrastruktura navedena u sljedećoj tablici:</w:t>
      </w:r>
    </w:p>
    <w:tbl>
      <w:tblPr>
        <w:tblStyle w:val="TableNormal0"/>
        <w:tblW w:w="9225" w:type="dxa"/>
        <w:tblInd w:w="1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681"/>
        <w:gridCol w:w="248"/>
        <w:gridCol w:w="1807"/>
        <w:gridCol w:w="2683"/>
      </w:tblGrid>
      <w:tr w:rsidR="00F13240" w14:paraId="4213F473" w14:textId="77777777" w:rsidTr="00894BFB">
        <w:trPr>
          <w:trHeight w:val="350"/>
        </w:trPr>
        <w:tc>
          <w:tcPr>
            <w:tcW w:w="92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B6EBED0" w14:textId="77777777" w:rsidR="00F13240" w:rsidRPr="00563A48" w:rsidRDefault="00F13240" w:rsidP="00894BFB">
            <w:pPr>
              <w:suppressAutoHyphens w:val="0"/>
              <w:spacing w:before="60" w:after="60"/>
              <w:ind w:left="57"/>
              <w:jc w:val="center"/>
              <w:textAlignment w:val="auto"/>
              <w:rPr>
                <w:rFonts w:cs="Calibri"/>
                <w:b/>
                <w:sz w:val="16"/>
                <w:szCs w:val="16"/>
                <w:lang w:val="pl-PL"/>
              </w:rPr>
            </w:pP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POPIS</w:t>
            </w:r>
            <w:r w:rsidRPr="00563A48">
              <w:rPr>
                <w:rFonts w:ascii="Times New Roman" w:hAnsi="Times New Roman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KATASTARSKIH</w:t>
            </w:r>
            <w:r w:rsidRPr="00563A48">
              <w:rPr>
                <w:rFonts w:ascii="Times New Roman" w:hAnsi="Times New Roman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ČESTICA</w:t>
            </w:r>
            <w:r w:rsidRPr="00563A48">
              <w:rPr>
                <w:rFonts w:ascii="Times New Roman" w:hAnsi="Times New Roman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U</w:t>
            </w:r>
            <w:r w:rsidRPr="00563A48">
              <w:rPr>
                <w:rFonts w:ascii="Times New Roman" w:hAnsi="Times New Roman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OBUHVATU</w:t>
            </w:r>
            <w:r w:rsidRPr="00563A48">
              <w:rPr>
                <w:rFonts w:ascii="Times New Roman" w:hAnsi="Times New Roman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KOMUNALNE</w:t>
            </w:r>
            <w:r w:rsidRPr="00563A48">
              <w:rPr>
                <w:rFonts w:ascii="Times New Roman" w:hAnsi="Times New Roman" w:cs="Calibri"/>
                <w:spacing w:val="-7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pacing w:val="-2"/>
                <w:sz w:val="16"/>
                <w:szCs w:val="16"/>
                <w:lang w:val="pl-PL"/>
              </w:rPr>
              <w:t>INFRASTRUKTURE</w:t>
            </w:r>
          </w:p>
          <w:p w14:paraId="729B1224" w14:textId="77777777" w:rsidR="00F13240" w:rsidRPr="00563A48" w:rsidRDefault="00F13240" w:rsidP="00894BFB">
            <w:pPr>
              <w:suppressAutoHyphens w:val="0"/>
              <w:spacing w:before="60" w:after="60"/>
              <w:ind w:left="57" w:right="12"/>
              <w:jc w:val="center"/>
              <w:textAlignment w:val="auto"/>
              <w:rPr>
                <w:rFonts w:cs="Calibri"/>
                <w:b/>
                <w:sz w:val="16"/>
                <w:szCs w:val="16"/>
                <w:lang w:val="pl-PL"/>
              </w:rPr>
            </w:pP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NERAZVRSTANA</w:t>
            </w:r>
            <w:r w:rsidRPr="00563A48">
              <w:rPr>
                <w:rFonts w:ascii="Times New Roman" w:cs="Calibri"/>
                <w:spacing w:val="-11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CESTA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KOD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DNEVNOG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CENTRA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ZA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z w:val="16"/>
                <w:szCs w:val="16"/>
                <w:lang w:val="pl-PL"/>
              </w:rPr>
              <w:t>STARIJE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b/>
                <w:spacing w:val="-2"/>
                <w:sz w:val="16"/>
                <w:szCs w:val="16"/>
                <w:lang w:val="pl-PL"/>
              </w:rPr>
              <w:t>OSOBE</w:t>
            </w:r>
          </w:p>
        </w:tc>
      </w:tr>
      <w:tr w:rsidR="00F13240" w14:paraId="2E3AACF1" w14:textId="77777777" w:rsidTr="00894BFB">
        <w:trPr>
          <w:trHeight w:val="145"/>
        </w:trPr>
        <w:tc>
          <w:tcPr>
            <w:tcW w:w="44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1295C5E8" w14:textId="77777777" w:rsidR="00F13240" w:rsidRPr="00563A48" w:rsidRDefault="00F13240" w:rsidP="00894BFB">
            <w:pPr>
              <w:suppressAutoHyphens w:val="0"/>
              <w:spacing w:line="240" w:lineRule="exact"/>
              <w:ind w:left="55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2"/>
                <w:sz w:val="16"/>
                <w:szCs w:val="16"/>
              </w:rPr>
              <w:t>KATASTAR</w:t>
            </w: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16D61EDD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44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2F6AC600" w14:textId="77777777" w:rsidR="00F13240" w:rsidRPr="00563A48" w:rsidRDefault="00F13240" w:rsidP="00894BFB">
            <w:pPr>
              <w:suppressAutoHyphens w:val="0"/>
              <w:spacing w:line="240" w:lineRule="exact"/>
              <w:ind w:left="56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ZEMLJIŠNA</w:t>
            </w:r>
            <w:r w:rsidRPr="00563A48">
              <w:rPr>
                <w:rFonts w:ascii="Times New Roman" w:hAnsi="Times New Roman" w:cs="Calibri"/>
                <w:spacing w:val="-6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2"/>
                <w:sz w:val="16"/>
                <w:szCs w:val="16"/>
              </w:rPr>
              <w:t>KNJIGA</w:t>
            </w:r>
          </w:p>
        </w:tc>
      </w:tr>
      <w:tr w:rsidR="00F13240" w14:paraId="6C5CEFB4" w14:textId="77777777" w:rsidTr="00894BFB">
        <w:trPr>
          <w:trHeight w:val="473"/>
        </w:trPr>
        <w:tc>
          <w:tcPr>
            <w:tcW w:w="18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</w:tcPr>
          <w:p w14:paraId="1C096335" w14:textId="77777777" w:rsidR="00F13240" w:rsidRPr="00563A48" w:rsidRDefault="00F13240" w:rsidP="00894BFB">
            <w:pPr>
              <w:suppressAutoHyphens w:val="0"/>
              <w:spacing w:before="33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  <w:p w14:paraId="2F2FB0F0" w14:textId="77777777" w:rsidR="00F13240" w:rsidRPr="00563A48" w:rsidRDefault="00F13240" w:rsidP="00894BFB">
            <w:pPr>
              <w:suppressAutoHyphens w:val="0"/>
              <w:ind w:left="43" w:right="10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KATASTARSKA</w:t>
            </w:r>
            <w:r w:rsidRPr="00563A48">
              <w:rPr>
                <w:rFonts w:ascii="Times New Roman" w:hAnsi="Times New Roman" w:cs="Calibri"/>
                <w:spacing w:val="-6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2"/>
                <w:sz w:val="16"/>
                <w:szCs w:val="16"/>
              </w:rPr>
              <w:t>OPĆINA</w:t>
            </w:r>
          </w:p>
        </w:tc>
        <w:tc>
          <w:tcPr>
            <w:tcW w:w="2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53A3A201" w14:textId="77777777" w:rsidR="00F13240" w:rsidRPr="00563A48" w:rsidRDefault="00F13240" w:rsidP="00894BFB">
            <w:pPr>
              <w:suppressAutoHyphens w:val="0"/>
              <w:ind w:left="62" w:right="12"/>
              <w:jc w:val="center"/>
              <w:textAlignment w:val="auto"/>
              <w:rPr>
                <w:rFonts w:cs="Calibri"/>
                <w:sz w:val="16"/>
                <w:szCs w:val="16"/>
                <w:lang w:val="pl-PL"/>
              </w:rPr>
            </w:pPr>
            <w:r w:rsidRPr="00563A48">
              <w:rPr>
                <w:rFonts w:cs="Calibri"/>
                <w:sz w:val="16"/>
                <w:szCs w:val="16"/>
                <w:lang w:val="pl-PL"/>
              </w:rPr>
              <w:t>KATASTARSKE</w:t>
            </w:r>
            <w:r w:rsidRPr="00563A48">
              <w:rPr>
                <w:rFonts w:ascii="Times New Roman" w:hAnsi="Times New Roman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ČESTICE</w:t>
            </w:r>
            <w:r w:rsidRPr="00563A48">
              <w:rPr>
                <w:rFonts w:ascii="Times New Roman" w:hAnsi="Times New Roman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OD</w:t>
            </w:r>
            <w:r w:rsidRPr="00563A48">
              <w:rPr>
                <w:rFonts w:ascii="Times New Roman" w:hAnsi="Times New Roman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KOJIH</w:t>
            </w:r>
            <w:r w:rsidRPr="00563A48">
              <w:rPr>
                <w:rFonts w:ascii="Times New Roman" w:hAnsi="Times New Roman" w:cs="Calibri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NASTAJE</w:t>
            </w:r>
            <w:r w:rsidRPr="00563A48">
              <w:rPr>
                <w:rFonts w:ascii="Times New Roman" w:hAnsi="Times New Roman" w:cs="Calibri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K.Č.</w:t>
            </w:r>
            <w:r w:rsidRPr="00563A48">
              <w:rPr>
                <w:rFonts w:ascii="Times New Roman" w:hAnsi="Times New Roman" w:cs="Calibri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KOMUNALNE</w:t>
            </w:r>
          </w:p>
          <w:p w14:paraId="478AF0C1" w14:textId="77777777" w:rsidR="00F13240" w:rsidRPr="00563A48" w:rsidRDefault="00F13240" w:rsidP="00894BFB">
            <w:pPr>
              <w:suppressAutoHyphens w:val="0"/>
              <w:ind w:left="62" w:right="10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2"/>
                <w:sz w:val="16"/>
                <w:szCs w:val="16"/>
              </w:rPr>
              <w:t>INFRASTRUKTURE</w:t>
            </w: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384307A3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2F2F2"/>
          </w:tcPr>
          <w:p w14:paraId="7E88C4CA" w14:textId="77777777" w:rsidR="00F13240" w:rsidRPr="00563A48" w:rsidRDefault="00F13240" w:rsidP="00894BFB">
            <w:pPr>
              <w:suppressAutoHyphens w:val="0"/>
              <w:spacing w:before="33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  <w:p w14:paraId="5FF26BA6" w14:textId="77777777" w:rsidR="00F13240" w:rsidRPr="00563A48" w:rsidRDefault="00F13240" w:rsidP="00894BFB">
            <w:pPr>
              <w:suppressAutoHyphens w:val="0"/>
              <w:ind w:left="43" w:right="12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KATASTARSKA</w:t>
            </w:r>
            <w:r w:rsidRPr="00563A48">
              <w:rPr>
                <w:rFonts w:ascii="Times New Roman" w:hAnsi="Times New Roman" w:cs="Calibri"/>
                <w:spacing w:val="-6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2"/>
                <w:sz w:val="16"/>
                <w:szCs w:val="16"/>
              </w:rPr>
              <w:t>OPĆINA</w:t>
            </w:r>
          </w:p>
        </w:tc>
        <w:tc>
          <w:tcPr>
            <w:tcW w:w="26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hideMark/>
          </w:tcPr>
          <w:p w14:paraId="7218994A" w14:textId="77777777" w:rsidR="00F13240" w:rsidRPr="00563A48" w:rsidRDefault="00F13240" w:rsidP="00894BFB">
            <w:pPr>
              <w:suppressAutoHyphens w:val="0"/>
              <w:ind w:left="62" w:right="14"/>
              <w:jc w:val="center"/>
              <w:textAlignment w:val="auto"/>
              <w:rPr>
                <w:rFonts w:cs="Calibri"/>
                <w:sz w:val="16"/>
                <w:szCs w:val="16"/>
                <w:lang w:val="pl-PL"/>
              </w:rPr>
            </w:pPr>
            <w:r w:rsidRPr="00563A48">
              <w:rPr>
                <w:rFonts w:cs="Calibri"/>
                <w:sz w:val="16"/>
                <w:szCs w:val="16"/>
                <w:lang w:val="pl-PL"/>
              </w:rPr>
              <w:t>KATASTARSKE</w:t>
            </w:r>
            <w:r w:rsidRPr="00563A48">
              <w:rPr>
                <w:rFonts w:ascii="Times New Roman" w:hAnsi="Times New Roman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ČESTICE</w:t>
            </w:r>
            <w:r w:rsidRPr="00563A48">
              <w:rPr>
                <w:rFonts w:ascii="Times New Roman" w:hAnsi="Times New Roman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OD</w:t>
            </w:r>
            <w:r w:rsidRPr="00563A48">
              <w:rPr>
                <w:rFonts w:ascii="Times New Roman" w:hAnsi="Times New Roman" w:cs="Calibri"/>
                <w:spacing w:val="-14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KOJIH</w:t>
            </w:r>
            <w:r w:rsidRPr="00563A48">
              <w:rPr>
                <w:rFonts w:ascii="Times New Roman" w:hAnsi="Times New Roman" w:cs="Calibri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NASTAJE</w:t>
            </w:r>
            <w:r w:rsidRPr="00563A48">
              <w:rPr>
                <w:rFonts w:ascii="Times New Roman" w:hAnsi="Times New Roman" w:cs="Calibri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K.Č.</w:t>
            </w:r>
            <w:r w:rsidRPr="00563A48">
              <w:rPr>
                <w:rFonts w:ascii="Times New Roman" w:hAnsi="Times New Roman" w:cs="Calibri"/>
                <w:sz w:val="16"/>
                <w:szCs w:val="16"/>
                <w:lang w:val="pl-PL"/>
              </w:rPr>
              <w:t xml:space="preserve"> </w:t>
            </w:r>
            <w:r w:rsidRPr="00563A48">
              <w:rPr>
                <w:rFonts w:cs="Calibri"/>
                <w:sz w:val="16"/>
                <w:szCs w:val="16"/>
                <w:lang w:val="pl-PL"/>
              </w:rPr>
              <w:t>KOMUNALNE</w:t>
            </w:r>
          </w:p>
          <w:p w14:paraId="34BDB1DB" w14:textId="77777777" w:rsidR="00F13240" w:rsidRPr="00563A48" w:rsidRDefault="00F13240" w:rsidP="00894BFB">
            <w:pPr>
              <w:suppressAutoHyphens w:val="0"/>
              <w:ind w:left="62" w:right="13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2"/>
                <w:sz w:val="16"/>
                <w:szCs w:val="16"/>
              </w:rPr>
              <w:t>INFRASTRUKTURE</w:t>
            </w:r>
          </w:p>
        </w:tc>
      </w:tr>
      <w:tr w:rsidR="00F13240" w14:paraId="6792C706" w14:textId="77777777" w:rsidTr="00894BFB">
        <w:trPr>
          <w:trHeight w:val="149"/>
        </w:trPr>
        <w:tc>
          <w:tcPr>
            <w:tcW w:w="180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464C1BA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6868E7CA" w14:textId="77777777" w:rsidR="00F13240" w:rsidRPr="00563A48" w:rsidRDefault="00F13240" w:rsidP="00894BFB">
            <w:pPr>
              <w:suppressAutoHyphens w:val="0"/>
              <w:spacing w:line="246" w:lineRule="exact"/>
              <w:ind w:left="65" w:right="1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DIO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4"/>
                <w:sz w:val="16"/>
                <w:szCs w:val="16"/>
              </w:rPr>
              <w:t>1009</w:t>
            </w:r>
          </w:p>
        </w:tc>
        <w:tc>
          <w:tcPr>
            <w:tcW w:w="2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1B912DD1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2B9760F3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696F22B1" w14:textId="77777777" w:rsidR="00F13240" w:rsidRPr="00563A48" w:rsidRDefault="00F13240" w:rsidP="00894BFB">
            <w:pPr>
              <w:suppressAutoHyphens w:val="0"/>
              <w:spacing w:line="246" w:lineRule="exact"/>
              <w:ind w:left="65" w:right="4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DIO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4"/>
                <w:sz w:val="16"/>
                <w:szCs w:val="16"/>
              </w:rPr>
              <w:t>1009</w:t>
            </w:r>
          </w:p>
        </w:tc>
      </w:tr>
      <w:tr w:rsidR="00F13240" w14:paraId="17099055" w14:textId="77777777" w:rsidTr="00894BFB">
        <w:trPr>
          <w:trHeight w:val="137"/>
        </w:trPr>
        <w:tc>
          <w:tcPr>
            <w:tcW w:w="180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4EA3283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27A06C56" w14:textId="77777777" w:rsidR="00F13240" w:rsidRPr="00563A48" w:rsidRDefault="00F13240" w:rsidP="00894BFB">
            <w:pPr>
              <w:suppressAutoHyphens w:val="0"/>
              <w:spacing w:line="224" w:lineRule="exact"/>
              <w:ind w:left="65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4"/>
                <w:sz w:val="16"/>
                <w:szCs w:val="16"/>
              </w:rPr>
              <w:t>1012</w:t>
            </w:r>
          </w:p>
        </w:tc>
        <w:tc>
          <w:tcPr>
            <w:tcW w:w="2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068E12E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293758E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4E11AC3D" w14:textId="77777777" w:rsidR="00F13240" w:rsidRPr="00563A48" w:rsidRDefault="00F13240" w:rsidP="00894BFB">
            <w:pPr>
              <w:suppressAutoHyphens w:val="0"/>
              <w:spacing w:line="224" w:lineRule="exact"/>
              <w:ind w:left="65" w:right="2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4"/>
                <w:sz w:val="16"/>
                <w:szCs w:val="16"/>
              </w:rPr>
              <w:t>1012</w:t>
            </w:r>
          </w:p>
        </w:tc>
      </w:tr>
      <w:tr w:rsidR="00F13240" w14:paraId="4707A046" w14:textId="77777777" w:rsidTr="00894BFB">
        <w:trPr>
          <w:trHeight w:val="138"/>
        </w:trPr>
        <w:tc>
          <w:tcPr>
            <w:tcW w:w="180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64F2BD21" w14:textId="77777777" w:rsidR="00F13240" w:rsidRPr="00563A48" w:rsidRDefault="00F13240" w:rsidP="00894BFB">
            <w:pPr>
              <w:suppressAutoHyphens w:val="0"/>
              <w:spacing w:line="227" w:lineRule="exact"/>
              <w:ind w:left="43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2"/>
                <w:sz w:val="16"/>
                <w:szCs w:val="16"/>
              </w:rPr>
              <w:t>JELENJE</w:t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4F4E9A4A" w14:textId="77777777" w:rsidR="00F13240" w:rsidRPr="00563A48" w:rsidRDefault="00F13240" w:rsidP="00894BFB">
            <w:pPr>
              <w:suppressAutoHyphens w:val="0"/>
              <w:spacing w:line="227" w:lineRule="exact"/>
              <w:ind w:left="65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4"/>
                <w:sz w:val="16"/>
                <w:szCs w:val="16"/>
              </w:rPr>
              <w:t>1013</w:t>
            </w:r>
          </w:p>
        </w:tc>
        <w:tc>
          <w:tcPr>
            <w:tcW w:w="2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581FA07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36619CA9" w14:textId="77777777" w:rsidR="00F13240" w:rsidRPr="00563A48" w:rsidRDefault="00F13240" w:rsidP="00894BFB">
            <w:pPr>
              <w:suppressAutoHyphens w:val="0"/>
              <w:spacing w:line="227" w:lineRule="exact"/>
              <w:ind w:left="43" w:right="3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2"/>
                <w:sz w:val="16"/>
                <w:szCs w:val="16"/>
              </w:rPr>
              <w:t>JELENJE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59C3C91F" w14:textId="77777777" w:rsidR="00F13240" w:rsidRPr="00563A48" w:rsidRDefault="00F13240" w:rsidP="00894BFB">
            <w:pPr>
              <w:suppressAutoHyphens w:val="0"/>
              <w:spacing w:line="227" w:lineRule="exact"/>
              <w:ind w:left="65" w:right="2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pacing w:val="-4"/>
                <w:sz w:val="16"/>
                <w:szCs w:val="16"/>
              </w:rPr>
              <w:t>1013</w:t>
            </w:r>
          </w:p>
        </w:tc>
      </w:tr>
      <w:tr w:rsidR="00F13240" w14:paraId="56E048DC" w14:textId="77777777" w:rsidTr="00894BFB">
        <w:trPr>
          <w:trHeight w:val="137"/>
        </w:trPr>
        <w:tc>
          <w:tcPr>
            <w:tcW w:w="180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A9C7A7F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3013FE2E" w14:textId="77777777" w:rsidR="00F13240" w:rsidRPr="00563A48" w:rsidRDefault="00F13240" w:rsidP="00894BFB">
            <w:pPr>
              <w:suppressAutoHyphens w:val="0"/>
              <w:spacing w:line="225" w:lineRule="exact"/>
              <w:ind w:left="65" w:right="1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DIO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4"/>
                <w:sz w:val="16"/>
                <w:szCs w:val="16"/>
              </w:rPr>
              <w:t>1014</w:t>
            </w:r>
          </w:p>
        </w:tc>
        <w:tc>
          <w:tcPr>
            <w:tcW w:w="2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A0AEC5A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19F0AA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5E329DE5" w14:textId="77777777" w:rsidR="00F13240" w:rsidRPr="00563A48" w:rsidRDefault="00F13240" w:rsidP="00894BFB">
            <w:pPr>
              <w:suppressAutoHyphens w:val="0"/>
              <w:spacing w:line="225" w:lineRule="exact"/>
              <w:ind w:left="65" w:right="4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DIO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4"/>
                <w:sz w:val="16"/>
                <w:szCs w:val="16"/>
              </w:rPr>
              <w:t>1014</w:t>
            </w:r>
          </w:p>
        </w:tc>
      </w:tr>
      <w:tr w:rsidR="00F13240" w14:paraId="65FB982B" w14:textId="77777777" w:rsidTr="00894BFB">
        <w:trPr>
          <w:trHeight w:val="134"/>
        </w:trPr>
        <w:tc>
          <w:tcPr>
            <w:tcW w:w="180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558049F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CB64CC2" w14:textId="77777777" w:rsidR="00F13240" w:rsidRPr="00563A48" w:rsidRDefault="00F13240" w:rsidP="00894BFB">
            <w:pPr>
              <w:suppressAutoHyphens w:val="0"/>
              <w:spacing w:line="219" w:lineRule="exact"/>
              <w:ind w:left="65" w:right="6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DIO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2"/>
                <w:sz w:val="16"/>
                <w:szCs w:val="16"/>
              </w:rPr>
              <w:t>1015/1</w:t>
            </w:r>
          </w:p>
        </w:tc>
        <w:tc>
          <w:tcPr>
            <w:tcW w:w="2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8AB9834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9FAC1AE" w14:textId="77777777" w:rsidR="00F13240" w:rsidRPr="00563A48" w:rsidRDefault="00F13240" w:rsidP="00894BFB">
            <w:pPr>
              <w:suppressAutoHyphens w:val="0"/>
              <w:textAlignment w:val="auto"/>
              <w:rPr>
                <w:rFonts w:ascii="Times New Roman" w:cs="Calibri"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3E5124A" w14:textId="77777777" w:rsidR="00F13240" w:rsidRPr="00563A48" w:rsidRDefault="00F13240" w:rsidP="00894BFB">
            <w:pPr>
              <w:suppressAutoHyphens w:val="0"/>
              <w:spacing w:line="219" w:lineRule="exact"/>
              <w:ind w:left="65" w:right="8"/>
              <w:jc w:val="center"/>
              <w:textAlignment w:val="auto"/>
              <w:rPr>
                <w:rFonts w:cs="Calibri"/>
                <w:sz w:val="16"/>
                <w:szCs w:val="16"/>
              </w:rPr>
            </w:pPr>
            <w:r w:rsidRPr="00563A48">
              <w:rPr>
                <w:rFonts w:cs="Calibri"/>
                <w:sz w:val="16"/>
                <w:szCs w:val="16"/>
              </w:rPr>
              <w:t>DIO</w:t>
            </w:r>
            <w:r w:rsidRPr="00563A48">
              <w:rPr>
                <w:rFonts w:ascii="Times New Roman" w:cs="Calibri"/>
                <w:spacing w:val="-8"/>
                <w:sz w:val="16"/>
                <w:szCs w:val="16"/>
              </w:rPr>
              <w:t xml:space="preserve"> </w:t>
            </w:r>
            <w:r w:rsidRPr="00563A48">
              <w:rPr>
                <w:rFonts w:cs="Calibri"/>
                <w:spacing w:val="-2"/>
                <w:sz w:val="16"/>
                <w:szCs w:val="16"/>
              </w:rPr>
              <w:t>1015/1</w:t>
            </w:r>
          </w:p>
        </w:tc>
      </w:tr>
    </w:tbl>
    <w:p w14:paraId="00098A0F" w14:textId="77777777" w:rsidR="00F13240" w:rsidRPr="00563A48" w:rsidRDefault="00F13240" w:rsidP="00F13240">
      <w:pPr>
        <w:suppressAutoHyphens w:val="0"/>
        <w:autoSpaceDN/>
        <w:spacing w:after="0" w:line="240" w:lineRule="auto"/>
        <w:ind w:left="2568" w:right="2472" w:hanging="10"/>
        <w:jc w:val="center"/>
        <w:textAlignment w:val="auto"/>
        <w:rPr>
          <w:rFonts w:ascii="Arial" w:eastAsia="Arial" w:hAnsi="Arial" w:cs="Arial"/>
          <w:color w:val="000000"/>
          <w:kern w:val="2"/>
          <w:sz w:val="14"/>
          <w:szCs w:val="14"/>
          <w:lang w:eastAsia="hr-HR"/>
          <w14:ligatures w14:val="standardContextual"/>
        </w:rPr>
      </w:pPr>
    </w:p>
    <w:p w14:paraId="09020C29" w14:textId="77777777" w:rsidR="00F13240" w:rsidRPr="00563A48" w:rsidRDefault="00F13240" w:rsidP="00F13240">
      <w:pPr>
        <w:suppressAutoHyphens w:val="0"/>
        <w:autoSpaceDN/>
        <w:spacing w:after="120"/>
        <w:ind w:left="2568" w:right="2472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2E9948E7" w14:textId="77777777" w:rsidR="00F13240" w:rsidRPr="00563A48" w:rsidRDefault="00F13240" w:rsidP="00F13240">
      <w:pPr>
        <w:suppressAutoHyphens w:val="0"/>
        <w:autoSpaceDN/>
        <w:spacing w:after="120"/>
        <w:ind w:left="2568" w:right="2472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498E9C67" w14:textId="77777777" w:rsidR="00F13240" w:rsidRPr="00563A48" w:rsidRDefault="00F13240" w:rsidP="00F13240">
      <w:pPr>
        <w:suppressAutoHyphens w:val="0"/>
        <w:autoSpaceDN/>
        <w:spacing w:after="120"/>
        <w:ind w:left="57" w:right="5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Obuhvat komunalne infrastrukture utvrđen je Prijedlogom obuhvata komunalne infrastrukture za Nerazvrstanu cestu na području Općine Jelenje iz prosinca 2023. (Elaborat br.: 2023-583) izrađenim od Nekretnine d.o.o. koji je sastavni dio ove Odluke.</w:t>
      </w:r>
    </w:p>
    <w:p w14:paraId="1FB72462" w14:textId="77777777" w:rsidR="00F13240" w:rsidRDefault="00F13240" w:rsidP="00F13240">
      <w:pPr>
        <w:suppressAutoHyphens w:val="0"/>
        <w:autoSpaceDN/>
        <w:spacing w:after="120"/>
        <w:ind w:left="2568" w:right="2544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7F1304EA" w14:textId="37890CA7" w:rsidR="00F13240" w:rsidRPr="00563A48" w:rsidRDefault="00F13240" w:rsidP="00F13240">
      <w:pPr>
        <w:suppressAutoHyphens w:val="0"/>
        <w:autoSpaceDN/>
        <w:spacing w:after="120"/>
        <w:ind w:left="2568" w:right="2544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17B07B9F" w14:textId="77777777" w:rsidR="00F13240" w:rsidRPr="00563A48" w:rsidRDefault="00F13240" w:rsidP="00F13240">
      <w:pPr>
        <w:suppressAutoHyphens w:val="0"/>
        <w:autoSpaceDN/>
        <w:spacing w:after="120"/>
        <w:ind w:left="57" w:right="52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Nalaže se Zemljišno-knjižnom odjelu Općinskog suda u Rijeci upis komunalne infrastrukture iz </w:t>
      </w: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članka</w:t>
      </w: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1. ove Odluke kao: ”Javno dobro u općoj uporabi – Nerazvrstana cesta kod Dnevnog centra za starije osobe” u vlasništvu Općine Jelenje, Dražice, </w:t>
      </w:r>
      <w:proofErr w:type="spellStart"/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Dražičkih</w:t>
      </w:r>
      <w:proofErr w:type="spellEnd"/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 boraca 64., OIB:</w:t>
      </w:r>
      <w:r w:rsidRPr="00563A48">
        <w:rPr>
          <w:rFonts w:ascii="Arial" w:eastAsia="Arial" w:hAnsi="Arial" w:cs="Arial"/>
          <w:bCs/>
          <w:color w:val="000000"/>
          <w:kern w:val="2"/>
          <w:lang w:eastAsia="hr-HR"/>
          <w14:ligatures w14:val="standardContextual"/>
        </w:rPr>
        <w:t xml:space="preserve"> </w:t>
      </w: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37666833094</w:t>
      </w: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.</w:t>
      </w:r>
    </w:p>
    <w:p w14:paraId="7ECBD826" w14:textId="77777777" w:rsidR="00F13240" w:rsidRDefault="00F13240" w:rsidP="00F13240">
      <w:pPr>
        <w:suppressAutoHyphens w:val="0"/>
        <w:autoSpaceDN/>
        <w:spacing w:after="120"/>
        <w:ind w:left="2568" w:right="2563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8834AEA" w14:textId="4FFB828A" w:rsidR="00F13240" w:rsidRPr="00563A48" w:rsidRDefault="00F13240" w:rsidP="00F13240">
      <w:pPr>
        <w:suppressAutoHyphens w:val="0"/>
        <w:autoSpaceDN/>
        <w:spacing w:after="120"/>
        <w:ind w:left="2568" w:right="2563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4.</w:t>
      </w:r>
    </w:p>
    <w:p w14:paraId="0FDDF024" w14:textId="77777777" w:rsidR="00F13240" w:rsidRPr="00563A48" w:rsidRDefault="00F13240" w:rsidP="00F13240">
      <w:pPr>
        <w:suppressAutoHyphens w:val="0"/>
        <w:autoSpaceDN/>
        <w:spacing w:after="120"/>
        <w:ind w:left="32" w:right="75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lastRenderedPageBreak/>
        <w:t xml:space="preserve">Ova Odluka stupa na snagu osmoga dana od dana objave u „Službenim novinama Općine Jelenje”. </w:t>
      </w:r>
    </w:p>
    <w:p w14:paraId="50525597" w14:textId="656956E2" w:rsidR="00F13240" w:rsidRPr="00563A48" w:rsidRDefault="00F13240" w:rsidP="00F13240">
      <w:pPr>
        <w:suppressAutoHyphens w:val="0"/>
        <w:autoSpaceDN/>
        <w:spacing w:after="0"/>
        <w:ind w:left="10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hAnsi="Arial" w:cs="Arial"/>
          <w:color w:val="000000"/>
          <w:kern w:val="2"/>
          <w:lang w:eastAsia="hr-HR"/>
          <w14:ligatures w14:val="standardContextual"/>
        </w:rPr>
        <w:t xml:space="preserve">KLASA: </w:t>
      </w:r>
      <w:r w:rsidR="000F71C8">
        <w:rPr>
          <w:rFonts w:ascii="Arial" w:hAnsi="Arial" w:cs="Arial"/>
          <w:color w:val="000000"/>
          <w:kern w:val="2"/>
          <w:lang w:eastAsia="hr-HR"/>
          <w14:ligatures w14:val="standardContextual"/>
        </w:rPr>
        <w:t>024-04/23-01/8</w:t>
      </w:r>
      <w:r w:rsidRPr="00563A48">
        <w:rPr>
          <w:rFonts w:ascii="Arial" w:hAnsi="Arial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01AA6AC2" w14:textId="612C9A25" w:rsidR="00F13240" w:rsidRPr="00563A48" w:rsidRDefault="00F13240" w:rsidP="00F13240">
      <w:pPr>
        <w:suppressAutoHyphens w:val="0"/>
        <w:autoSpaceDN/>
        <w:spacing w:after="0"/>
        <w:ind w:left="-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hAnsi="Arial" w:cs="Arial"/>
          <w:color w:val="000000"/>
          <w:kern w:val="2"/>
          <w:lang w:eastAsia="hr-HR"/>
          <w14:ligatures w14:val="standardContextual"/>
        </w:rPr>
        <w:t xml:space="preserve">URBROJ:  </w:t>
      </w:r>
      <w:r w:rsidR="000F71C8">
        <w:rPr>
          <w:rFonts w:ascii="Arial" w:hAnsi="Arial" w:cs="Arial"/>
          <w:color w:val="000000"/>
          <w:kern w:val="2"/>
          <w:lang w:eastAsia="hr-HR"/>
          <w14:ligatures w14:val="standardContextual"/>
        </w:rPr>
        <w:t>2170-20-03-01/03-23-3</w:t>
      </w:r>
    </w:p>
    <w:p w14:paraId="01CE5358" w14:textId="10876EE6" w:rsidR="00F13240" w:rsidRPr="00563A48" w:rsidRDefault="00F13240" w:rsidP="00F13240">
      <w:pPr>
        <w:suppressAutoHyphens w:val="0"/>
        <w:autoSpaceDN/>
        <w:spacing w:after="0"/>
        <w:ind w:left="-5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563A4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U Dražicama, </w:t>
      </w:r>
      <w:r w:rsidR="000F71C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22. prosinca 2023.</w:t>
      </w:r>
    </w:p>
    <w:p w14:paraId="027A5477" w14:textId="77777777" w:rsidR="000F71C8" w:rsidRDefault="000F71C8" w:rsidP="00F13240">
      <w:pPr>
        <w:suppressAutoHyphens w:val="0"/>
        <w:autoSpaceDN/>
        <w:spacing w:after="0"/>
        <w:ind w:left="5041" w:hanging="10"/>
        <w:contextualSpacing/>
        <w:jc w:val="center"/>
        <w:textAlignment w:val="auto"/>
        <w:rPr>
          <w:rFonts w:ascii="Arial" w:hAnsi="Arial" w:cs="Arial"/>
          <w:color w:val="000000"/>
          <w14:ligatures w14:val="standardContextual"/>
        </w:rPr>
      </w:pPr>
    </w:p>
    <w:p w14:paraId="636019A8" w14:textId="36B61617" w:rsidR="00F13240" w:rsidRPr="00563A48" w:rsidRDefault="00F13240" w:rsidP="00F13240">
      <w:pPr>
        <w:suppressAutoHyphens w:val="0"/>
        <w:autoSpaceDN/>
        <w:spacing w:after="0"/>
        <w:ind w:left="5041" w:hanging="10"/>
        <w:contextualSpacing/>
        <w:jc w:val="center"/>
        <w:textAlignment w:val="auto"/>
        <w:rPr>
          <w:rFonts w:ascii="Arial" w:hAnsi="Arial" w:cs="Arial"/>
          <w:color w:val="000000"/>
          <w14:ligatures w14:val="standardContextual"/>
        </w:rPr>
      </w:pPr>
      <w:r w:rsidRPr="00563A48">
        <w:rPr>
          <w:rFonts w:ascii="Arial" w:hAnsi="Arial" w:cs="Arial"/>
          <w:color w:val="000000"/>
          <w14:ligatures w14:val="standardContextual"/>
        </w:rPr>
        <w:t>PREDSJEDNICA OPĆINSKOG VIJEĆA OPĆINE JELENJE</w:t>
      </w:r>
    </w:p>
    <w:p w14:paraId="78C525D4" w14:textId="77777777" w:rsidR="00F13240" w:rsidRDefault="00F13240" w:rsidP="00F13240">
      <w:pPr>
        <w:suppressAutoHyphens w:val="0"/>
        <w:autoSpaceDN/>
        <w:spacing w:after="0"/>
        <w:ind w:left="5760" w:firstLine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563A48">
        <w:rPr>
          <w:rFonts w:ascii="Arial" w:hAnsi="Arial" w:cs="Arial"/>
          <w:color w:val="000000"/>
          <w14:ligatures w14:val="standardContextual"/>
        </w:rPr>
        <w:t xml:space="preserve">Izabela </w:t>
      </w:r>
      <w:proofErr w:type="spellStart"/>
      <w:r w:rsidRPr="00563A48">
        <w:rPr>
          <w:rFonts w:ascii="Arial" w:hAnsi="Arial" w:cs="Arial"/>
          <w:color w:val="000000"/>
          <w14:ligatures w14:val="standardContextual"/>
        </w:rPr>
        <w:t>Nemaz</w:t>
      </w:r>
      <w:proofErr w:type="spellEnd"/>
    </w:p>
    <w:p w14:paraId="245CEC35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0"/>
    <w:rsid w:val="00011272"/>
    <w:rsid w:val="000F71C8"/>
    <w:rsid w:val="00E11DCB"/>
    <w:rsid w:val="00F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D24"/>
  <w15:chartTrackingRefBased/>
  <w15:docId w15:val="{64474941-B482-4E19-9AAF-AF92DFE8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324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qFormat/>
    <w:rsid w:val="00F13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3</cp:revision>
  <dcterms:created xsi:type="dcterms:W3CDTF">2023-12-27T09:51:00Z</dcterms:created>
  <dcterms:modified xsi:type="dcterms:W3CDTF">2023-12-27T14:38:00Z</dcterms:modified>
</cp:coreProperties>
</file>