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D296" w14:textId="77777777" w:rsidR="00B118D3" w:rsidRPr="00AD03E6" w:rsidRDefault="00B118D3" w:rsidP="00B118D3">
      <w:pPr>
        <w:suppressAutoHyphens w:val="0"/>
        <w:autoSpaceDN/>
        <w:spacing w:after="160" w:line="256" w:lineRule="auto"/>
        <w:jc w:val="both"/>
        <w:textAlignment w:val="auto"/>
        <w:rPr>
          <w:rFonts w:ascii="Arial" w:hAnsi="Arial" w:cs="Arial"/>
        </w:rPr>
      </w:pPr>
      <w:r w:rsidRPr="00AD03E6">
        <w:rPr>
          <w:rFonts w:ascii="Arial" w:hAnsi="Arial" w:cs="Arial"/>
        </w:rPr>
        <w:t>Na temelju članka 72. stavka 1. Zakona o komunalnom gospodarstvu („Narodne novine“ broj 68/18, 110/18 i 32/20) i članka 33. stavak 1. točka 13. Statuta Općine Jelenje („Službene novine Općine Jelenje“ broj 59/23) Općinsko vijeće Općine Jelenje na 17. sjednici održanoj dana 21. prosinca 2023. donosi</w:t>
      </w:r>
    </w:p>
    <w:p w14:paraId="07FCADEC" w14:textId="77777777" w:rsidR="00B118D3" w:rsidRPr="00AD03E6" w:rsidRDefault="00B118D3" w:rsidP="00B118D3">
      <w:pPr>
        <w:suppressAutoHyphens w:val="0"/>
        <w:autoSpaceDN/>
        <w:spacing w:after="0"/>
        <w:jc w:val="center"/>
        <w:textAlignment w:val="auto"/>
        <w:rPr>
          <w:rFonts w:ascii="Arial" w:hAnsi="Arial" w:cs="Arial"/>
          <w:b/>
          <w:bCs/>
        </w:rPr>
      </w:pPr>
      <w:r w:rsidRPr="00AD03E6">
        <w:rPr>
          <w:rFonts w:ascii="Arial" w:hAnsi="Arial" w:cs="Arial"/>
          <w:b/>
          <w:bCs/>
        </w:rPr>
        <w:t xml:space="preserve">Program održavanja komunalne infrastrukture </w:t>
      </w:r>
    </w:p>
    <w:p w14:paraId="03A8D9A8" w14:textId="77777777" w:rsidR="00B118D3" w:rsidRPr="00AD03E6" w:rsidRDefault="00B118D3" w:rsidP="00B118D3">
      <w:pPr>
        <w:suppressAutoHyphens w:val="0"/>
        <w:autoSpaceDN/>
        <w:spacing w:after="0"/>
        <w:jc w:val="center"/>
        <w:textAlignment w:val="auto"/>
        <w:rPr>
          <w:rFonts w:ascii="Arial" w:hAnsi="Arial" w:cs="Arial"/>
          <w:b/>
          <w:bCs/>
        </w:rPr>
      </w:pPr>
      <w:r w:rsidRPr="00AD03E6">
        <w:rPr>
          <w:rFonts w:ascii="Arial" w:hAnsi="Arial" w:cs="Arial"/>
          <w:b/>
          <w:bCs/>
        </w:rPr>
        <w:t>na području Općine Jelenje za 2024.g.</w:t>
      </w:r>
    </w:p>
    <w:p w14:paraId="7FB2A7DE" w14:textId="77777777" w:rsidR="00B118D3" w:rsidRPr="00AD03E6" w:rsidRDefault="00B118D3" w:rsidP="00B118D3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03DEE571" w14:textId="77777777" w:rsidR="00B118D3" w:rsidRPr="00AD03E6" w:rsidRDefault="00B118D3" w:rsidP="00B118D3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</w:rPr>
      </w:pPr>
      <w:r w:rsidRPr="00AD03E6">
        <w:rPr>
          <w:rFonts w:ascii="Arial" w:hAnsi="Arial" w:cs="Arial"/>
          <w:b/>
          <w:bCs/>
        </w:rPr>
        <w:t>Članak 1.</w:t>
      </w:r>
    </w:p>
    <w:p w14:paraId="1914C1D9" w14:textId="77777777" w:rsidR="00B118D3" w:rsidRPr="00AD03E6" w:rsidRDefault="00B118D3" w:rsidP="00B118D3">
      <w:pPr>
        <w:suppressAutoHyphens w:val="0"/>
        <w:autoSpaceDN/>
        <w:spacing w:after="0" w:line="256" w:lineRule="auto"/>
        <w:ind w:left="11" w:right="138"/>
        <w:jc w:val="both"/>
        <w:textAlignment w:val="auto"/>
        <w:rPr>
          <w:rFonts w:ascii="Arial" w:hAnsi="Arial" w:cs="Arial"/>
        </w:rPr>
      </w:pPr>
      <w:r w:rsidRPr="00AD03E6">
        <w:rPr>
          <w:rFonts w:ascii="Arial" w:hAnsi="Arial" w:cs="Arial"/>
        </w:rPr>
        <w:t xml:space="preserve">Programom održavanja komunalne infrastrukture na području Općine Jelenje za 2024. godinu (dalje:  Program) utvrđuju se komunalne djelatnosti za održavanje  komunalne infrastrukture za 2024. godinu na području  Općine kako slijedi:  </w:t>
      </w:r>
    </w:p>
    <w:p w14:paraId="4C5D523C" w14:textId="77777777" w:rsidR="00B118D3" w:rsidRPr="00AD03E6" w:rsidRDefault="00B118D3" w:rsidP="00B118D3">
      <w:pPr>
        <w:suppressAutoHyphens w:val="0"/>
        <w:autoSpaceDN/>
        <w:spacing w:after="0"/>
        <w:ind w:left="567"/>
        <w:textAlignment w:val="auto"/>
        <w:rPr>
          <w:rFonts w:ascii="Arial" w:eastAsia="Times New Roman" w:hAnsi="Arial" w:cs="Arial"/>
          <w:lang w:eastAsia="hr-HR"/>
        </w:rPr>
      </w:pPr>
      <w:r w:rsidRPr="00AD03E6">
        <w:rPr>
          <w:rFonts w:ascii="Arial" w:eastAsia="Times New Roman" w:hAnsi="Arial" w:cs="Arial"/>
          <w:lang w:eastAsia="hr-HR"/>
        </w:rPr>
        <w:t>1. održavanje nerazvrstanih cesta,</w:t>
      </w:r>
    </w:p>
    <w:p w14:paraId="3328AEAD" w14:textId="77777777" w:rsidR="00B118D3" w:rsidRPr="00AD03E6" w:rsidRDefault="00B118D3" w:rsidP="00B118D3">
      <w:pPr>
        <w:suppressAutoHyphens w:val="0"/>
        <w:autoSpaceDN/>
        <w:spacing w:after="0"/>
        <w:ind w:left="567"/>
        <w:textAlignment w:val="auto"/>
        <w:rPr>
          <w:rFonts w:ascii="Arial" w:eastAsia="Times New Roman" w:hAnsi="Arial" w:cs="Arial"/>
          <w:lang w:eastAsia="hr-HR"/>
        </w:rPr>
      </w:pPr>
      <w:r w:rsidRPr="00AD03E6">
        <w:rPr>
          <w:rFonts w:ascii="Arial" w:eastAsia="Times New Roman" w:hAnsi="Arial" w:cs="Arial"/>
          <w:lang w:eastAsia="hr-HR"/>
        </w:rPr>
        <w:t>2. održavanje javnih površina na kojima nije dopušten promet motornim vozilima,</w:t>
      </w:r>
    </w:p>
    <w:p w14:paraId="3AC1E562" w14:textId="77777777" w:rsidR="00B118D3" w:rsidRPr="00AD03E6" w:rsidRDefault="00B118D3" w:rsidP="00B118D3">
      <w:pPr>
        <w:suppressAutoHyphens w:val="0"/>
        <w:autoSpaceDN/>
        <w:spacing w:after="0"/>
        <w:ind w:left="567"/>
        <w:textAlignment w:val="auto"/>
        <w:rPr>
          <w:rFonts w:ascii="Arial" w:eastAsia="Times New Roman" w:hAnsi="Arial" w:cs="Arial"/>
          <w:lang w:eastAsia="hr-HR"/>
        </w:rPr>
      </w:pPr>
      <w:r w:rsidRPr="00AD03E6">
        <w:rPr>
          <w:rFonts w:ascii="Arial" w:eastAsia="Times New Roman" w:hAnsi="Arial" w:cs="Arial"/>
          <w:lang w:eastAsia="hr-HR"/>
        </w:rPr>
        <w:t>3. održavanje javnih zelenih površina,</w:t>
      </w:r>
    </w:p>
    <w:p w14:paraId="3B89C5D5" w14:textId="77777777" w:rsidR="00B118D3" w:rsidRPr="00AD03E6" w:rsidRDefault="00B118D3" w:rsidP="00B118D3">
      <w:pPr>
        <w:suppressAutoHyphens w:val="0"/>
        <w:autoSpaceDN/>
        <w:spacing w:after="0"/>
        <w:ind w:left="567"/>
        <w:textAlignment w:val="auto"/>
        <w:rPr>
          <w:rFonts w:ascii="Arial" w:eastAsia="Times New Roman" w:hAnsi="Arial" w:cs="Arial"/>
          <w:lang w:eastAsia="hr-HR"/>
        </w:rPr>
      </w:pPr>
      <w:r w:rsidRPr="00AD03E6">
        <w:rPr>
          <w:rFonts w:ascii="Arial" w:eastAsia="Times New Roman" w:hAnsi="Arial" w:cs="Arial"/>
          <w:lang w:eastAsia="hr-HR"/>
        </w:rPr>
        <w:t>4. održavanje groblja,</w:t>
      </w:r>
    </w:p>
    <w:p w14:paraId="2F773F11" w14:textId="77777777" w:rsidR="00B118D3" w:rsidRPr="00AD03E6" w:rsidRDefault="00B118D3" w:rsidP="00B118D3">
      <w:pPr>
        <w:suppressAutoHyphens w:val="0"/>
        <w:autoSpaceDN/>
        <w:spacing w:after="0"/>
        <w:ind w:left="567"/>
        <w:textAlignment w:val="auto"/>
        <w:rPr>
          <w:rFonts w:ascii="Arial" w:eastAsia="Times New Roman" w:hAnsi="Arial" w:cs="Arial"/>
          <w:lang w:eastAsia="hr-HR"/>
        </w:rPr>
      </w:pPr>
      <w:r w:rsidRPr="00AD03E6">
        <w:rPr>
          <w:rFonts w:ascii="Arial" w:eastAsia="Times New Roman" w:hAnsi="Arial" w:cs="Arial"/>
          <w:lang w:eastAsia="hr-HR"/>
        </w:rPr>
        <w:t>5. održavanje javne rasvjete,</w:t>
      </w:r>
    </w:p>
    <w:p w14:paraId="0CBB3BFB" w14:textId="77777777" w:rsidR="00B118D3" w:rsidRPr="00AD03E6" w:rsidRDefault="00B118D3" w:rsidP="00B118D3">
      <w:pPr>
        <w:suppressAutoHyphens w:val="0"/>
        <w:autoSpaceDN/>
        <w:spacing w:after="0"/>
        <w:ind w:left="567"/>
        <w:textAlignment w:val="auto"/>
        <w:rPr>
          <w:rFonts w:ascii="Arial" w:hAnsi="Arial" w:cs="Arial"/>
          <w:bCs/>
          <w:lang w:eastAsia="hr-HR"/>
        </w:rPr>
      </w:pPr>
      <w:r w:rsidRPr="00AD03E6">
        <w:rPr>
          <w:rFonts w:ascii="Arial" w:hAnsi="Arial" w:cs="Arial"/>
          <w:bCs/>
          <w:lang w:eastAsia="hr-HR"/>
        </w:rPr>
        <w:t>6. DDD (dezinsekcija, deratizacija, dezinfekcija)</w:t>
      </w:r>
    </w:p>
    <w:p w14:paraId="05F8C6A2" w14:textId="77777777" w:rsidR="00B118D3" w:rsidRPr="00AD03E6" w:rsidRDefault="00B118D3" w:rsidP="00B118D3">
      <w:pPr>
        <w:suppressAutoHyphens w:val="0"/>
        <w:autoSpaceDN/>
        <w:spacing w:after="0"/>
        <w:ind w:left="567"/>
        <w:textAlignment w:val="auto"/>
        <w:rPr>
          <w:rFonts w:ascii="Arial" w:hAnsi="Arial" w:cs="Arial"/>
          <w:b/>
          <w:lang w:eastAsia="hr-HR"/>
        </w:rPr>
      </w:pPr>
      <w:r w:rsidRPr="00AD03E6">
        <w:rPr>
          <w:rFonts w:ascii="Arial" w:hAnsi="Arial" w:cs="Arial"/>
          <w:bCs/>
          <w:lang w:eastAsia="hr-HR"/>
        </w:rPr>
        <w:t>7.</w:t>
      </w:r>
      <w:r w:rsidRPr="00AD03E6">
        <w:rPr>
          <w:rFonts w:ascii="Arial" w:hAnsi="Arial" w:cs="Arial"/>
          <w:b/>
          <w:lang w:eastAsia="hr-HR"/>
        </w:rPr>
        <w:t xml:space="preserve"> </w:t>
      </w:r>
      <w:r w:rsidRPr="00AD03E6">
        <w:rPr>
          <w:rFonts w:ascii="Arial" w:hAnsi="Arial" w:cs="Arial"/>
          <w:bCs/>
          <w:lang w:eastAsia="hr-HR"/>
        </w:rPr>
        <w:t>Prijevoz pokojnika sukladno zakonskoj obvezi</w:t>
      </w:r>
      <w:r w:rsidRPr="00AD03E6">
        <w:rPr>
          <w:rFonts w:ascii="Arial" w:hAnsi="Arial" w:cs="Arial"/>
          <w:b/>
          <w:lang w:eastAsia="hr-HR"/>
        </w:rPr>
        <w:t xml:space="preserve">,   </w:t>
      </w:r>
    </w:p>
    <w:p w14:paraId="33E8DC0A" w14:textId="77777777" w:rsidR="00B118D3" w:rsidRPr="00AD03E6" w:rsidRDefault="00B118D3" w:rsidP="00B118D3">
      <w:pPr>
        <w:suppressAutoHyphens w:val="0"/>
        <w:autoSpaceDN/>
        <w:spacing w:after="0"/>
        <w:ind w:left="567"/>
        <w:textAlignment w:val="auto"/>
        <w:rPr>
          <w:rFonts w:ascii="Open Sans" w:eastAsia="Times New Roman" w:hAnsi="Open Sans" w:cs="Open Sans"/>
          <w:bCs/>
          <w:sz w:val="21"/>
          <w:szCs w:val="21"/>
          <w:lang w:eastAsia="hr-HR"/>
        </w:rPr>
      </w:pPr>
      <w:r w:rsidRPr="00AD03E6">
        <w:rPr>
          <w:rFonts w:ascii="Arial" w:hAnsi="Arial" w:cs="Arial"/>
          <w:bCs/>
          <w:lang w:eastAsia="hr-HR"/>
        </w:rPr>
        <w:t xml:space="preserve">8. Ostale aktivnosti vezane za održavanje komunalne infrastrukture.    </w:t>
      </w:r>
      <w:r w:rsidRPr="00AD03E6">
        <w:rPr>
          <w:rFonts w:ascii="Arial" w:hAnsi="Arial" w:cs="Arial"/>
          <w:bCs/>
          <w:sz w:val="20"/>
          <w:szCs w:val="20"/>
          <w:lang w:eastAsia="hr-HR"/>
        </w:rPr>
        <w:t xml:space="preserve">                                   </w:t>
      </w:r>
    </w:p>
    <w:p w14:paraId="074E4567" w14:textId="77777777" w:rsidR="00B118D3" w:rsidRPr="00AD03E6" w:rsidRDefault="00B118D3" w:rsidP="00B118D3">
      <w:pPr>
        <w:suppressAutoHyphens w:val="0"/>
        <w:autoSpaceDN/>
        <w:spacing w:after="129" w:line="247" w:lineRule="auto"/>
        <w:ind w:right="138"/>
        <w:jc w:val="center"/>
        <w:textAlignment w:val="auto"/>
        <w:rPr>
          <w:rFonts w:ascii="Arial" w:hAnsi="Arial" w:cs="Arial"/>
          <w:b/>
          <w:bCs/>
        </w:rPr>
      </w:pPr>
    </w:p>
    <w:p w14:paraId="60C924C2" w14:textId="77777777" w:rsidR="00B118D3" w:rsidRPr="00AD03E6" w:rsidRDefault="00B118D3" w:rsidP="00B118D3">
      <w:pPr>
        <w:suppressAutoHyphens w:val="0"/>
        <w:autoSpaceDN/>
        <w:spacing w:after="129" w:line="247" w:lineRule="auto"/>
        <w:ind w:right="138"/>
        <w:jc w:val="center"/>
        <w:textAlignment w:val="auto"/>
        <w:rPr>
          <w:rFonts w:ascii="Arial" w:hAnsi="Arial" w:cs="Arial"/>
        </w:rPr>
      </w:pPr>
      <w:r w:rsidRPr="00AD03E6">
        <w:rPr>
          <w:rFonts w:ascii="Arial" w:hAnsi="Arial" w:cs="Arial"/>
          <w:b/>
          <w:bCs/>
        </w:rPr>
        <w:t>Članak 2.</w:t>
      </w:r>
    </w:p>
    <w:p w14:paraId="1F9403FD" w14:textId="77777777" w:rsidR="00B118D3" w:rsidRPr="00AD03E6" w:rsidRDefault="00B118D3" w:rsidP="00B118D3">
      <w:pPr>
        <w:suppressAutoHyphens w:val="0"/>
        <w:autoSpaceDN/>
        <w:spacing w:after="76" w:line="247" w:lineRule="auto"/>
        <w:ind w:right="11"/>
        <w:textAlignment w:val="auto"/>
        <w:rPr>
          <w:rFonts w:ascii="Arial" w:eastAsia="Times New Roman" w:hAnsi="Arial" w:cs="Arial"/>
        </w:rPr>
      </w:pPr>
      <w:bookmarkStart w:id="0" w:name="_Hlk153530597"/>
      <w:r w:rsidRPr="00AD03E6">
        <w:rPr>
          <w:rFonts w:ascii="Arial" w:eastAsia="Times New Roman" w:hAnsi="Arial" w:cs="Arial"/>
        </w:rPr>
        <w:t>Financijska sredstva potrebna za ostvarivanje ovog Programa utvrđuju se u ukupnom iznosu 408.100,00 eura</w:t>
      </w:r>
      <w:bookmarkEnd w:id="0"/>
      <w:r w:rsidRPr="00AD03E6">
        <w:rPr>
          <w:rFonts w:ascii="Arial" w:eastAsia="Times New Roman" w:hAnsi="Arial" w:cs="Arial"/>
        </w:rPr>
        <w:t xml:space="preserve">, prema izvorima kako slijedi: </w:t>
      </w:r>
    </w:p>
    <w:tbl>
      <w:tblPr>
        <w:tblW w:w="7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right w:w="39" w:type="dxa"/>
        </w:tblCellMar>
        <w:tblLook w:val="04A0" w:firstRow="1" w:lastRow="0" w:firstColumn="1" w:lastColumn="0" w:noHBand="0" w:noVBand="1"/>
      </w:tblPr>
      <w:tblGrid>
        <w:gridCol w:w="5391"/>
        <w:gridCol w:w="2470"/>
      </w:tblGrid>
      <w:tr w:rsidR="00B118D3" w14:paraId="44AEDF1E" w14:textId="77777777" w:rsidTr="00503B5D">
        <w:trPr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C69CEC4" w14:textId="77777777" w:rsidR="00B118D3" w:rsidRPr="00AD03E6" w:rsidRDefault="00B118D3" w:rsidP="00503B5D">
            <w:pPr>
              <w:suppressAutoHyphens w:val="0"/>
              <w:autoSpaceDN/>
              <w:spacing w:before="60"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IZVORI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22DDE1D" w14:textId="77777777" w:rsidR="00B118D3" w:rsidRPr="00AD03E6" w:rsidRDefault="00B118D3" w:rsidP="00503B5D">
            <w:pPr>
              <w:suppressAutoHyphens w:val="0"/>
              <w:autoSpaceDN/>
              <w:spacing w:before="60" w:after="0" w:line="240" w:lineRule="auto"/>
              <w:ind w:right="66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IZNOS (EUR)</w:t>
            </w:r>
          </w:p>
        </w:tc>
      </w:tr>
      <w:tr w:rsidR="00B118D3" w14:paraId="4696A7B9" w14:textId="77777777" w:rsidTr="00503B5D">
        <w:trPr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60E9" w14:textId="77777777" w:rsidR="00B118D3" w:rsidRPr="00AD03E6" w:rsidRDefault="00B118D3" w:rsidP="00503B5D">
            <w:pPr>
              <w:suppressAutoHyphens w:val="0"/>
              <w:autoSpaceDN/>
              <w:spacing w:before="60"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 od komunalne naknade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8A68" w14:textId="77777777" w:rsidR="00B118D3" w:rsidRPr="00AD03E6" w:rsidRDefault="00B118D3" w:rsidP="00503B5D">
            <w:pPr>
              <w:suppressAutoHyphens w:val="0"/>
              <w:autoSpaceDN/>
              <w:spacing w:before="60" w:after="0" w:line="240" w:lineRule="auto"/>
              <w:ind w:right="66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255.000,00</w:t>
            </w:r>
          </w:p>
        </w:tc>
      </w:tr>
      <w:tr w:rsidR="00B118D3" w14:paraId="7C6C8B4D" w14:textId="77777777" w:rsidTr="00503B5D">
        <w:trPr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4C6F" w14:textId="77777777" w:rsidR="00B118D3" w:rsidRPr="00AD03E6" w:rsidRDefault="00B118D3" w:rsidP="00503B5D">
            <w:pPr>
              <w:suppressAutoHyphens w:val="0"/>
              <w:autoSpaceDN/>
              <w:spacing w:before="60"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Naknada za ceste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0B33" w14:textId="77777777" w:rsidR="00B118D3" w:rsidRPr="00AD03E6" w:rsidRDefault="00B118D3" w:rsidP="00503B5D">
            <w:pPr>
              <w:suppressAutoHyphens w:val="0"/>
              <w:autoSpaceDN/>
              <w:spacing w:before="60" w:after="0" w:line="240" w:lineRule="auto"/>
              <w:ind w:right="65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33.180,00</w:t>
            </w:r>
          </w:p>
        </w:tc>
      </w:tr>
      <w:tr w:rsidR="00B118D3" w14:paraId="2829643A" w14:textId="77777777" w:rsidTr="00503B5D">
        <w:trPr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F8C3" w14:textId="77777777" w:rsidR="00B118D3" w:rsidRPr="00AD03E6" w:rsidRDefault="00B118D3" w:rsidP="00503B5D">
            <w:pPr>
              <w:suppressAutoHyphens w:val="0"/>
              <w:autoSpaceDN/>
              <w:spacing w:before="60"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Višak prihoda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5158" w14:textId="77777777" w:rsidR="00B118D3" w:rsidRPr="00AD03E6" w:rsidRDefault="00B118D3" w:rsidP="00503B5D">
            <w:pPr>
              <w:suppressAutoHyphens w:val="0"/>
              <w:autoSpaceDN/>
              <w:spacing w:before="60" w:after="0" w:line="240" w:lineRule="auto"/>
              <w:ind w:right="66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43.920,00</w:t>
            </w:r>
          </w:p>
        </w:tc>
      </w:tr>
      <w:tr w:rsidR="00B118D3" w14:paraId="727D935B" w14:textId="77777777" w:rsidTr="00503B5D">
        <w:trPr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D4F1" w14:textId="77777777" w:rsidR="00B118D3" w:rsidRPr="00AD03E6" w:rsidRDefault="00B118D3" w:rsidP="00503B5D">
            <w:pPr>
              <w:suppressAutoHyphens w:val="0"/>
              <w:autoSpaceDN/>
              <w:spacing w:before="60"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pruženih usluga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1384" w14:textId="77777777" w:rsidR="00B118D3" w:rsidRPr="00AD03E6" w:rsidRDefault="00B118D3" w:rsidP="00503B5D">
            <w:pPr>
              <w:suppressAutoHyphens w:val="0"/>
              <w:autoSpaceDN/>
              <w:spacing w:before="60" w:after="0" w:line="240" w:lineRule="auto"/>
              <w:ind w:right="65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</w:tr>
      <w:tr w:rsidR="00B118D3" w14:paraId="39DB8C07" w14:textId="77777777" w:rsidTr="00503B5D">
        <w:trPr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F32F" w14:textId="77777777" w:rsidR="00B118D3" w:rsidRPr="00AD03E6" w:rsidRDefault="00B118D3" w:rsidP="00503B5D">
            <w:pPr>
              <w:suppressAutoHyphens w:val="0"/>
              <w:autoSpaceDN/>
              <w:spacing w:before="60"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Županijske, gradske i općinske pristojbe i naknade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25EC" w14:textId="77777777" w:rsidR="00B118D3" w:rsidRPr="00AD03E6" w:rsidRDefault="00B118D3" w:rsidP="00503B5D">
            <w:pPr>
              <w:suppressAutoHyphens w:val="0"/>
              <w:autoSpaceDN/>
              <w:spacing w:before="60" w:after="0" w:line="240" w:lineRule="auto"/>
              <w:ind w:right="65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B118D3" w14:paraId="7FC00137" w14:textId="77777777" w:rsidTr="00503B5D">
        <w:trPr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697B259" w14:textId="77777777" w:rsidR="00B118D3" w:rsidRPr="00AD03E6" w:rsidRDefault="00B118D3" w:rsidP="00503B5D">
            <w:pPr>
              <w:suppressAutoHyphens w:val="0"/>
              <w:autoSpaceDN/>
              <w:spacing w:before="60"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4A1D6F2" w14:textId="77777777" w:rsidR="00B118D3" w:rsidRPr="00AD03E6" w:rsidRDefault="00B118D3" w:rsidP="00503B5D">
            <w:pPr>
              <w:suppressAutoHyphens w:val="0"/>
              <w:autoSpaceDN/>
              <w:spacing w:before="60" w:after="0" w:line="240" w:lineRule="auto"/>
              <w:ind w:right="65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408.100,00</w:t>
            </w:r>
          </w:p>
        </w:tc>
      </w:tr>
    </w:tbl>
    <w:p w14:paraId="03FB8C33" w14:textId="77777777" w:rsidR="00B118D3" w:rsidRPr="00AD03E6" w:rsidRDefault="00B118D3" w:rsidP="00B118D3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643E45AF" w14:textId="69176BC6" w:rsidR="00B118D3" w:rsidRPr="00AD03E6" w:rsidRDefault="00B118D3" w:rsidP="00B118D3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</w:rPr>
      </w:pPr>
      <w:r w:rsidRPr="00AD03E6">
        <w:rPr>
          <w:rFonts w:ascii="Arial" w:hAnsi="Arial" w:cs="Arial"/>
          <w:b/>
          <w:bCs/>
        </w:rPr>
        <w:t xml:space="preserve">Članak </w:t>
      </w:r>
      <w:r>
        <w:rPr>
          <w:rFonts w:ascii="Arial" w:hAnsi="Arial" w:cs="Arial"/>
          <w:b/>
          <w:bCs/>
        </w:rPr>
        <w:t>3</w:t>
      </w:r>
      <w:r w:rsidRPr="00AD03E6">
        <w:rPr>
          <w:rFonts w:ascii="Arial" w:hAnsi="Arial" w:cs="Arial"/>
          <w:b/>
          <w:bCs/>
        </w:rPr>
        <w:t>.</w:t>
      </w:r>
    </w:p>
    <w:p w14:paraId="44043D84" w14:textId="77777777" w:rsidR="00B118D3" w:rsidRPr="00AD03E6" w:rsidRDefault="00B118D3" w:rsidP="00B118D3">
      <w:pPr>
        <w:suppressAutoHyphens w:val="0"/>
        <w:autoSpaceDN/>
        <w:spacing w:after="15" w:line="247" w:lineRule="auto"/>
        <w:ind w:right="11"/>
        <w:jc w:val="both"/>
        <w:textAlignment w:val="auto"/>
        <w:rPr>
          <w:rFonts w:ascii="Arial" w:hAnsi="Arial" w:cs="Arial"/>
        </w:rPr>
      </w:pPr>
      <w:r w:rsidRPr="00AD03E6">
        <w:rPr>
          <w:rFonts w:ascii="Arial" w:hAnsi="Arial" w:cs="Arial"/>
        </w:rPr>
        <w:t xml:space="preserve">Planirana sredstva </w:t>
      </w:r>
      <w:r w:rsidRPr="00AD03E6">
        <w:rPr>
          <w:rFonts w:ascii="Arial" w:eastAsia="Times New Roman" w:hAnsi="Arial" w:cs="Arial"/>
        </w:rPr>
        <w:t xml:space="preserve">za održavanje </w:t>
      </w:r>
      <w:r w:rsidRPr="00AD03E6">
        <w:rPr>
          <w:rFonts w:ascii="Arial" w:hAnsi="Arial" w:cs="Arial"/>
        </w:rPr>
        <w:t xml:space="preserve">i uređenje </w:t>
      </w:r>
      <w:r w:rsidRPr="00AD03E6">
        <w:rPr>
          <w:rFonts w:ascii="Arial" w:eastAsia="Times New Roman" w:hAnsi="Arial" w:cs="Arial"/>
        </w:rPr>
        <w:t xml:space="preserve">komunalne infrastrukture na području </w:t>
      </w:r>
      <w:r w:rsidRPr="00AD03E6">
        <w:rPr>
          <w:rFonts w:ascii="Arial" w:hAnsi="Arial" w:cs="Arial"/>
        </w:rPr>
        <w:t>o</w:t>
      </w:r>
      <w:r w:rsidRPr="00AD03E6">
        <w:rPr>
          <w:rFonts w:ascii="Arial" w:eastAsia="Times New Roman" w:hAnsi="Arial" w:cs="Arial"/>
        </w:rPr>
        <w:t xml:space="preserve">pćine </w:t>
      </w:r>
      <w:r w:rsidRPr="00AD03E6">
        <w:rPr>
          <w:rFonts w:ascii="Arial" w:hAnsi="Arial" w:cs="Arial"/>
        </w:rPr>
        <w:t>Jelenje</w:t>
      </w:r>
      <w:r w:rsidRPr="00AD03E6">
        <w:rPr>
          <w:rFonts w:ascii="Arial" w:eastAsia="Times New Roman" w:hAnsi="Arial" w:cs="Arial"/>
        </w:rPr>
        <w:t xml:space="preserve"> za 202</w:t>
      </w:r>
      <w:r w:rsidRPr="00AD03E6">
        <w:rPr>
          <w:rFonts w:ascii="Arial" w:hAnsi="Arial" w:cs="Arial"/>
        </w:rPr>
        <w:t>4</w:t>
      </w:r>
      <w:r w:rsidRPr="00AD03E6">
        <w:rPr>
          <w:rFonts w:ascii="Arial" w:eastAsia="Times New Roman" w:hAnsi="Arial" w:cs="Arial"/>
        </w:rPr>
        <w:t xml:space="preserve">. godinu po djelatnostima: </w:t>
      </w:r>
    </w:p>
    <w:p w14:paraId="71B8BCDA" w14:textId="77777777" w:rsidR="00B118D3" w:rsidRPr="00AD03E6" w:rsidRDefault="00B118D3" w:rsidP="00B118D3">
      <w:pPr>
        <w:suppressAutoHyphens w:val="0"/>
        <w:autoSpaceDN/>
        <w:spacing w:after="0" w:line="256" w:lineRule="auto"/>
        <w:ind w:left="401"/>
        <w:textAlignment w:val="auto"/>
      </w:pPr>
      <w:r w:rsidRPr="00AD03E6">
        <w:rPr>
          <w:rFonts w:ascii="Times New Roman" w:eastAsia="Times New Roman" w:hAnsi="Times New Roman"/>
        </w:rPr>
        <w:t xml:space="preserve"> </w:t>
      </w:r>
    </w:p>
    <w:tbl>
      <w:tblPr>
        <w:tblW w:w="9780" w:type="dxa"/>
        <w:tblInd w:w="248" w:type="dxa"/>
        <w:tblLayout w:type="fixed"/>
        <w:tblCellMar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827"/>
        <w:gridCol w:w="1418"/>
        <w:gridCol w:w="1275"/>
        <w:gridCol w:w="1090"/>
        <w:gridCol w:w="470"/>
        <w:gridCol w:w="992"/>
      </w:tblGrid>
      <w:tr w:rsidR="00B118D3" w14:paraId="40719FB2" w14:textId="77777777" w:rsidTr="00503B5D">
        <w:tc>
          <w:tcPr>
            <w:tcW w:w="4536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8D08D"/>
            <w:vAlign w:val="center"/>
            <w:hideMark/>
          </w:tcPr>
          <w:p w14:paraId="5731F779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103"/>
              <w:jc w:val="center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DJELATNOST </w:t>
            </w:r>
          </w:p>
        </w:tc>
        <w:tc>
          <w:tcPr>
            <w:tcW w:w="141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8D08D"/>
            <w:vAlign w:val="center"/>
            <w:hideMark/>
          </w:tcPr>
          <w:p w14:paraId="32EFB599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107"/>
              <w:jc w:val="center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POZICIJA </w:t>
            </w:r>
          </w:p>
          <w:p w14:paraId="311683DA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31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PRORAČUNA </w:t>
            </w:r>
          </w:p>
        </w:tc>
        <w:tc>
          <w:tcPr>
            <w:tcW w:w="127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8D08D"/>
            <w:vAlign w:val="center"/>
            <w:hideMark/>
          </w:tcPr>
          <w:p w14:paraId="47CD10CC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109"/>
              <w:jc w:val="center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PRORAČUN </w:t>
            </w:r>
          </w:p>
          <w:p w14:paraId="210A2A58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55"/>
              <w:jc w:val="right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2024.             </w:t>
            </w:r>
          </w:p>
          <w:p w14:paraId="1E072958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107"/>
              <w:jc w:val="center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(u eurima) </w:t>
            </w:r>
          </w:p>
        </w:tc>
        <w:tc>
          <w:tcPr>
            <w:tcW w:w="2552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8D08D"/>
            <w:vAlign w:val="center"/>
            <w:hideMark/>
          </w:tcPr>
          <w:p w14:paraId="13C9D15D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281"/>
              <w:jc w:val="center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IZVORI FINANCIRANJA </w:t>
            </w:r>
          </w:p>
        </w:tc>
      </w:tr>
      <w:tr w:rsidR="00B118D3" w14:paraId="7A2F0263" w14:textId="77777777" w:rsidTr="00503B5D">
        <w:tc>
          <w:tcPr>
            <w:tcW w:w="13608" w:type="dxa"/>
            <w:gridSpan w:val="2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208515E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74267DF4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03BAEEAF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8D08D"/>
            <w:vAlign w:val="center"/>
            <w:hideMark/>
          </w:tcPr>
          <w:p w14:paraId="35635890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98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IZVORI </w:t>
            </w:r>
          </w:p>
        </w:tc>
        <w:tc>
          <w:tcPr>
            <w:tcW w:w="146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8D08D"/>
            <w:vAlign w:val="center"/>
            <w:hideMark/>
          </w:tcPr>
          <w:p w14:paraId="3F494D80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105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VRIJEDNOSTI </w:t>
            </w:r>
          </w:p>
        </w:tc>
      </w:tr>
      <w:tr w:rsidR="00B118D3" w14:paraId="337C9FA7" w14:textId="77777777" w:rsidTr="00503B5D">
        <w:tc>
          <w:tcPr>
            <w:tcW w:w="9781" w:type="dxa"/>
            <w:gridSpan w:val="7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787B7677" w14:textId="77777777" w:rsidR="00B118D3" w:rsidRPr="00AD03E6" w:rsidRDefault="00B118D3" w:rsidP="00503B5D">
            <w:pPr>
              <w:shd w:val="clear" w:color="auto" w:fill="C5E0B3"/>
              <w:tabs>
                <w:tab w:val="center" w:pos="2012"/>
                <w:tab w:val="center" w:pos="5396"/>
                <w:tab w:val="center" w:pos="6853"/>
              </w:tabs>
              <w:suppressAutoHyphens w:val="0"/>
              <w:autoSpaceDN/>
              <w:spacing w:after="0" w:line="256" w:lineRule="auto"/>
              <w:ind w:left="599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ab/>
              <w:t xml:space="preserve">ODRŽAVANJE NERAZVRSTANIH CESTA 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ab/>
              <w:t>1010</w:t>
            </w:r>
            <w:r w:rsidRPr="00AD03E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D03E6"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</w:t>
            </w:r>
            <w:r w:rsidRPr="00AD03E6">
              <w:rPr>
                <w:rFonts w:ascii="Arial" w:hAnsi="Arial" w:cs="Arial"/>
                <w:b/>
                <w:bCs/>
                <w:sz w:val="16"/>
                <w:szCs w:val="16"/>
              </w:rPr>
              <w:t>218.000,00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D03E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118D3" w14:paraId="63DC2920" w14:textId="77777777" w:rsidTr="00503B5D">
        <w:tc>
          <w:tcPr>
            <w:tcW w:w="9781" w:type="dxa"/>
            <w:gridSpan w:val="7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4F059D36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ind w:right="136"/>
              <w:jc w:val="both"/>
              <w:textAlignment w:val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D03E6">
              <w:rPr>
                <w:rFonts w:ascii="Arial" w:hAnsi="Arial" w:cs="Arial"/>
                <w:i/>
                <w:sz w:val="16"/>
                <w:szCs w:val="16"/>
              </w:rPr>
              <w:t>Održavanje nerazvrstanih cesta obuhvaća skup mjera i radnji koje se obavljaju tijekom cijele godine na nerazvrstanim cestama, uključujući i svu opremu, uređaje i instalacije, sa svrhom održavanja prohodnosti i tehničke ispravnosti cesta i prometne sigurnosti na njima (redovito održavanje) kao i mjestimičnog poboljšanja elemenata ceste, osiguravanja sigurnosti i trajnosti ceste i cestovnih objekata i povećanja sigurnosti prometa (izvanredno održavanje), a u skladu s propisima kojima je uređeno održavanje cesta.</w:t>
            </w:r>
            <w:r w:rsidRPr="00AD03E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Dio sredstava razvrstava se na održavanje cesta u zimskim uvjetima (čišćenje snijega).</w:t>
            </w:r>
          </w:p>
          <w:p w14:paraId="256D0EC4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ind w:right="136"/>
              <w:jc w:val="both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118D3" w14:paraId="72EB4337" w14:textId="77777777" w:rsidTr="00503B5D">
        <w:tc>
          <w:tcPr>
            <w:tcW w:w="709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1022AC1C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6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1.1. </w:t>
            </w:r>
          </w:p>
        </w:tc>
        <w:tc>
          <w:tcPr>
            <w:tcW w:w="3827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1D316ED6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5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Usluge tekućeg održavanja nerazvrstanih cesta </w:t>
            </w:r>
          </w:p>
        </w:tc>
        <w:tc>
          <w:tcPr>
            <w:tcW w:w="1418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0C75D838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38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275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1FF492F8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3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182.000,00 </w:t>
            </w:r>
          </w:p>
        </w:tc>
        <w:tc>
          <w:tcPr>
            <w:tcW w:w="1560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04B6F788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1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Naknada za ceste </w:t>
            </w:r>
          </w:p>
        </w:tc>
        <w:tc>
          <w:tcPr>
            <w:tcW w:w="99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7A42E229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2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33.180,00</w:t>
            </w:r>
          </w:p>
        </w:tc>
      </w:tr>
      <w:tr w:rsidR="00B118D3" w14:paraId="52BB9BD9" w14:textId="77777777" w:rsidTr="00503B5D">
        <w:tc>
          <w:tcPr>
            <w:tcW w:w="9781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467E8CCA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7FEC0C4D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1DA0EDE5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41D330D9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5E05D9AF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1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Županijske, gradske i općinske pristojbe i naknade</w:t>
            </w:r>
          </w:p>
        </w:tc>
        <w:tc>
          <w:tcPr>
            <w:tcW w:w="99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217CFB26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2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33.500,00</w:t>
            </w:r>
          </w:p>
        </w:tc>
      </w:tr>
      <w:tr w:rsidR="00B118D3" w14:paraId="43C8F6CB" w14:textId="77777777" w:rsidTr="00503B5D">
        <w:tc>
          <w:tcPr>
            <w:tcW w:w="9781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0256B2C5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5314E85C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6423057C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2E9664C1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5AA3F982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1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Višak KI</w:t>
            </w:r>
          </w:p>
        </w:tc>
        <w:tc>
          <w:tcPr>
            <w:tcW w:w="99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5FA7CF4F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2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43.920,00</w:t>
            </w:r>
          </w:p>
        </w:tc>
      </w:tr>
      <w:tr w:rsidR="00B118D3" w14:paraId="215F06F7" w14:textId="77777777" w:rsidTr="00503B5D">
        <w:tc>
          <w:tcPr>
            <w:tcW w:w="9781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0FB0B592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09326421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6D380167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189ACE32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05E51EB9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1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Komunalna naknada</w:t>
            </w:r>
          </w:p>
        </w:tc>
        <w:tc>
          <w:tcPr>
            <w:tcW w:w="99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41D8486B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2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71.400,00</w:t>
            </w:r>
          </w:p>
        </w:tc>
      </w:tr>
      <w:tr w:rsidR="00B118D3" w14:paraId="3140DC12" w14:textId="77777777" w:rsidTr="00503B5D">
        <w:tc>
          <w:tcPr>
            <w:tcW w:w="70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559B0041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6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 xml:space="preserve">1.2. </w:t>
            </w:r>
          </w:p>
        </w:tc>
        <w:tc>
          <w:tcPr>
            <w:tcW w:w="382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3665A53D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5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Zimska služba</w:t>
            </w:r>
          </w:p>
        </w:tc>
        <w:tc>
          <w:tcPr>
            <w:tcW w:w="141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7480F703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38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127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129136D6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3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32.000,00 </w:t>
            </w:r>
          </w:p>
        </w:tc>
        <w:tc>
          <w:tcPr>
            <w:tcW w:w="1560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67F1763F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1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Komunalna naknada </w:t>
            </w:r>
          </w:p>
        </w:tc>
        <w:tc>
          <w:tcPr>
            <w:tcW w:w="99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35524C2B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2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32.000,00</w:t>
            </w:r>
          </w:p>
        </w:tc>
      </w:tr>
      <w:tr w:rsidR="00B118D3" w14:paraId="7B61E7D8" w14:textId="77777777" w:rsidTr="00503B5D">
        <w:tc>
          <w:tcPr>
            <w:tcW w:w="70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20477F33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6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1.3. </w:t>
            </w:r>
          </w:p>
        </w:tc>
        <w:tc>
          <w:tcPr>
            <w:tcW w:w="382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71E78724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5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Usluge održavanja prometne signalizacije </w:t>
            </w:r>
          </w:p>
        </w:tc>
        <w:tc>
          <w:tcPr>
            <w:tcW w:w="141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5A385215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38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308</w:t>
            </w:r>
          </w:p>
        </w:tc>
        <w:tc>
          <w:tcPr>
            <w:tcW w:w="127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3DB1DFF2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3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4.000,00</w:t>
            </w:r>
          </w:p>
        </w:tc>
        <w:tc>
          <w:tcPr>
            <w:tcW w:w="1560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6BE92B77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1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Komunalna naknada</w:t>
            </w:r>
          </w:p>
        </w:tc>
        <w:tc>
          <w:tcPr>
            <w:tcW w:w="99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41" w:type="dxa"/>
              <w:left w:w="106" w:type="dxa"/>
              <w:bottom w:w="0" w:type="dxa"/>
              <w:right w:w="65" w:type="dxa"/>
            </w:tcMar>
            <w:vAlign w:val="center"/>
            <w:hideMark/>
          </w:tcPr>
          <w:p w14:paraId="6B356B4A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2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4.000,00</w:t>
            </w:r>
          </w:p>
        </w:tc>
      </w:tr>
    </w:tbl>
    <w:p w14:paraId="7608544F" w14:textId="77777777" w:rsidR="00B118D3" w:rsidRPr="00AD03E6" w:rsidRDefault="00B118D3" w:rsidP="00B118D3">
      <w:pPr>
        <w:suppressAutoHyphens w:val="0"/>
        <w:autoSpaceDN/>
        <w:spacing w:after="0" w:line="256" w:lineRule="auto"/>
        <w:ind w:left="569"/>
        <w:textAlignment w:val="auto"/>
        <w:rPr>
          <w:rFonts w:ascii="Arial" w:hAnsi="Arial" w:cs="Arial"/>
          <w:sz w:val="20"/>
          <w:szCs w:val="20"/>
        </w:rPr>
      </w:pPr>
      <w:r w:rsidRPr="00AD03E6">
        <w:rPr>
          <w:rFonts w:ascii="Arial" w:hAnsi="Arial" w:cs="Arial"/>
          <w:sz w:val="20"/>
          <w:szCs w:val="20"/>
        </w:rPr>
        <w:t xml:space="preserve">  </w:t>
      </w:r>
    </w:p>
    <w:p w14:paraId="38974ADE" w14:textId="77777777" w:rsidR="00B118D3" w:rsidRPr="00AD03E6" w:rsidRDefault="00B118D3" w:rsidP="00B118D3">
      <w:pPr>
        <w:suppressAutoHyphens w:val="0"/>
        <w:autoSpaceDN/>
        <w:spacing w:after="0" w:line="256" w:lineRule="auto"/>
        <w:ind w:left="569"/>
        <w:textAlignment w:val="auto"/>
        <w:rPr>
          <w:rFonts w:ascii="Arial" w:hAnsi="Arial" w:cs="Arial"/>
          <w:sz w:val="20"/>
          <w:szCs w:val="20"/>
        </w:rPr>
      </w:pPr>
      <w:r w:rsidRPr="00AD03E6">
        <w:rPr>
          <w:rFonts w:ascii="Arial" w:hAnsi="Arial" w:cs="Arial"/>
          <w:sz w:val="20"/>
          <w:szCs w:val="20"/>
        </w:rPr>
        <w:tab/>
      </w:r>
      <w:r w:rsidRPr="00AD03E6">
        <w:rPr>
          <w:rFonts w:ascii="Arial" w:hAnsi="Arial" w:cs="Arial"/>
          <w:i/>
          <w:sz w:val="20"/>
          <w:szCs w:val="20"/>
        </w:rPr>
        <w:t xml:space="preserve">  </w:t>
      </w:r>
      <w:r w:rsidRPr="00AD03E6">
        <w:rPr>
          <w:rFonts w:ascii="Arial" w:hAnsi="Arial" w:cs="Arial"/>
          <w:i/>
          <w:sz w:val="20"/>
          <w:szCs w:val="20"/>
        </w:rPr>
        <w:tab/>
      </w:r>
      <w:r w:rsidRPr="00AD03E6">
        <w:rPr>
          <w:rFonts w:ascii="Arial" w:hAnsi="Arial" w:cs="Arial"/>
          <w:sz w:val="20"/>
          <w:szCs w:val="20"/>
        </w:rPr>
        <w:t xml:space="preserve">  </w:t>
      </w:r>
      <w:r w:rsidRPr="00AD03E6">
        <w:rPr>
          <w:rFonts w:ascii="Arial" w:hAnsi="Arial" w:cs="Arial"/>
          <w:sz w:val="20"/>
          <w:szCs w:val="20"/>
        </w:rPr>
        <w:tab/>
      </w:r>
      <w:r w:rsidRPr="00AD03E6">
        <w:rPr>
          <w:rFonts w:ascii="Arial" w:hAnsi="Arial" w:cs="Arial"/>
          <w:i/>
          <w:sz w:val="20"/>
          <w:szCs w:val="20"/>
        </w:rPr>
        <w:t xml:space="preserve">  </w:t>
      </w:r>
    </w:p>
    <w:tbl>
      <w:tblPr>
        <w:tblW w:w="9733" w:type="dxa"/>
        <w:tblInd w:w="296" w:type="dxa"/>
        <w:tblCellMar>
          <w:top w:w="40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88"/>
        <w:gridCol w:w="4196"/>
        <w:gridCol w:w="1080"/>
        <w:gridCol w:w="1265"/>
        <w:gridCol w:w="1502"/>
        <w:gridCol w:w="1102"/>
      </w:tblGrid>
      <w:tr w:rsidR="00B118D3" w14:paraId="1D06D89D" w14:textId="77777777" w:rsidTr="00503B5D">
        <w:trPr>
          <w:trHeight w:val="688"/>
        </w:trPr>
        <w:tc>
          <w:tcPr>
            <w:tcW w:w="9733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center"/>
            <w:hideMark/>
          </w:tcPr>
          <w:p w14:paraId="1F1FFD58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595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sz w:val="16"/>
                <w:szCs w:val="16"/>
              </w:rPr>
              <w:t xml:space="preserve">2. ODRŽAVANJE JAVNIH POVRŠINA NA KOJIMA NIJE DOPUŠTEN PROMET MOTORNIM VOZILIMA          74.000,00                           </w:t>
            </w:r>
          </w:p>
          <w:p w14:paraId="2946D284" w14:textId="77777777" w:rsidR="00B118D3" w:rsidRPr="00AD03E6" w:rsidRDefault="00B118D3" w:rsidP="00503B5D">
            <w:pPr>
              <w:tabs>
                <w:tab w:val="center" w:pos="2231"/>
                <w:tab w:val="center" w:pos="4959"/>
                <w:tab w:val="center" w:pos="8572"/>
                <w:tab w:val="center" w:pos="9316"/>
              </w:tabs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ab/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D03E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118D3" w14:paraId="61E21DF7" w14:textId="77777777" w:rsidTr="00503B5D">
        <w:trPr>
          <w:trHeight w:val="1888"/>
        </w:trPr>
        <w:tc>
          <w:tcPr>
            <w:tcW w:w="9733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  <w:hideMark/>
          </w:tcPr>
          <w:p w14:paraId="2AB0BD87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2"/>
              <w:jc w:val="both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AD03E6">
              <w:rPr>
                <w:rFonts w:ascii="Arial" w:hAnsi="Arial" w:cs="Arial"/>
                <w:i/>
                <w:sz w:val="16"/>
                <w:szCs w:val="16"/>
              </w:rPr>
              <w:t xml:space="preserve">Održavanje javnih površina na kojima nije dopušten promet motornim vozilima obuhvaća održavanja i popravke javnih površina kojima se osigurava njihova funkcionalna ispravnost (npr. razne ograde, popravci podloga, sanacija pješačkih površina, izrada podloge za postavu urbane opreme i sl.). </w:t>
            </w:r>
          </w:p>
          <w:p w14:paraId="5963AA40" w14:textId="77777777" w:rsidR="00B118D3" w:rsidRPr="00AD03E6" w:rsidRDefault="00B118D3" w:rsidP="00503B5D">
            <w:pPr>
              <w:suppressAutoHyphens w:val="0"/>
              <w:autoSpaceDN/>
              <w:spacing w:after="160" w:line="256" w:lineRule="auto"/>
              <w:ind w:right="138"/>
              <w:jc w:val="both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AD03E6">
              <w:rPr>
                <w:rFonts w:ascii="Arial" w:hAnsi="Arial" w:cs="Arial"/>
                <w:i/>
                <w:sz w:val="16"/>
                <w:szCs w:val="16"/>
              </w:rPr>
              <w:t xml:space="preserve">Javne površine na kojima nije dopušten promet motornim vozilima su trgovi, pločnici, javni prolazi, javne stube, prečaci, šetališta, biciklističke i pješačke staze i mostovi ako nisu sastavni dio nerazvrstane ili druge ceste. </w:t>
            </w:r>
          </w:p>
          <w:p w14:paraId="5F873AA8" w14:textId="77777777" w:rsidR="00B118D3" w:rsidRPr="00AD03E6" w:rsidRDefault="00B118D3" w:rsidP="00503B5D">
            <w:pPr>
              <w:suppressAutoHyphens w:val="0"/>
              <w:autoSpaceDN/>
              <w:spacing w:after="160" w:line="256" w:lineRule="auto"/>
              <w:ind w:right="138"/>
              <w:jc w:val="both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Održavanje javnih površina čine slijedeće djelatnosti, održavanje zelenila (košnja i uređenje niskog i visokog raslinja), rušenje stabala koja mogu biti prijetnja slučajnim prolaznicima i materijalnoj imovini i osiguravanje čistoće svih oborinskih kanala (kanali uz javne i nerazvrstane ceste) te popravak </w:t>
            </w:r>
            <w:proofErr w:type="spellStart"/>
            <w:r w:rsidRPr="00AD03E6">
              <w:rPr>
                <w:rFonts w:ascii="Arial" w:eastAsia="Times New Roman" w:hAnsi="Arial" w:cs="Arial"/>
                <w:i/>
                <w:sz w:val="16"/>
                <w:szCs w:val="16"/>
              </w:rPr>
              <w:t>šahti</w:t>
            </w:r>
            <w:proofErr w:type="spellEnd"/>
            <w:r w:rsidRPr="00AD03E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i slivnika. </w:t>
            </w:r>
          </w:p>
        </w:tc>
      </w:tr>
      <w:tr w:rsidR="00B118D3" w14:paraId="3DD2F778" w14:textId="77777777" w:rsidTr="00503B5D">
        <w:trPr>
          <w:trHeight w:val="282"/>
        </w:trPr>
        <w:tc>
          <w:tcPr>
            <w:tcW w:w="588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3AA46BE4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5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2.1. </w:t>
            </w:r>
          </w:p>
        </w:tc>
        <w:tc>
          <w:tcPr>
            <w:tcW w:w="4196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50CBD787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5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Održavanje javnih površina </w:t>
            </w:r>
          </w:p>
        </w:tc>
        <w:tc>
          <w:tcPr>
            <w:tcW w:w="1080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37183DBF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37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309</w:t>
            </w:r>
          </w:p>
        </w:tc>
        <w:tc>
          <w:tcPr>
            <w:tcW w:w="1265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38058AD9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2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72.000,00</w:t>
            </w:r>
          </w:p>
        </w:tc>
        <w:tc>
          <w:tcPr>
            <w:tcW w:w="150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47AC8517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0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Prihod od pruženih usluga</w:t>
            </w:r>
          </w:p>
        </w:tc>
        <w:tc>
          <w:tcPr>
            <w:tcW w:w="110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407AB087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1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26.000,00</w:t>
            </w:r>
          </w:p>
        </w:tc>
      </w:tr>
      <w:tr w:rsidR="00B118D3" w14:paraId="31CB68B6" w14:textId="77777777" w:rsidTr="00503B5D">
        <w:trPr>
          <w:trHeight w:val="92"/>
        </w:trPr>
        <w:tc>
          <w:tcPr>
            <w:tcW w:w="0" w:type="auto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616C9AEC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1E8031E5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3706CFB8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1B5BA228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2568A9FB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0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Komunalna naknada</w:t>
            </w:r>
          </w:p>
        </w:tc>
        <w:tc>
          <w:tcPr>
            <w:tcW w:w="110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3B4DC6AB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1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46.000,00</w:t>
            </w:r>
          </w:p>
        </w:tc>
      </w:tr>
      <w:tr w:rsidR="00B118D3" w14:paraId="04515FD2" w14:textId="77777777" w:rsidTr="00503B5D">
        <w:trPr>
          <w:trHeight w:val="223"/>
        </w:trPr>
        <w:tc>
          <w:tcPr>
            <w:tcW w:w="58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637CD8BE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5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2.2. </w:t>
            </w:r>
          </w:p>
        </w:tc>
        <w:tc>
          <w:tcPr>
            <w:tcW w:w="41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4793EDEE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5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Održavanje protupožarnih puteva </w:t>
            </w:r>
          </w:p>
        </w:tc>
        <w:tc>
          <w:tcPr>
            <w:tcW w:w="108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111B9570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37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6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6A409239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2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2.000,00</w:t>
            </w:r>
          </w:p>
        </w:tc>
        <w:tc>
          <w:tcPr>
            <w:tcW w:w="150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4A3678D0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0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Komunalna naknada </w:t>
            </w:r>
          </w:p>
        </w:tc>
        <w:tc>
          <w:tcPr>
            <w:tcW w:w="110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26C590D1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1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2.000,00</w:t>
            </w:r>
          </w:p>
        </w:tc>
      </w:tr>
    </w:tbl>
    <w:p w14:paraId="40D5B01D" w14:textId="77777777" w:rsidR="00B118D3" w:rsidRPr="00AD03E6" w:rsidRDefault="00B118D3" w:rsidP="00B118D3">
      <w:pPr>
        <w:suppressAutoHyphens w:val="0"/>
        <w:autoSpaceDN/>
        <w:spacing w:after="0" w:line="256" w:lineRule="auto"/>
        <w:ind w:left="569"/>
        <w:textAlignment w:val="auto"/>
        <w:rPr>
          <w:rFonts w:ascii="Arial" w:hAnsi="Arial" w:cs="Arial"/>
          <w:sz w:val="20"/>
          <w:szCs w:val="20"/>
        </w:rPr>
      </w:pPr>
      <w:r w:rsidRPr="00AD03E6">
        <w:rPr>
          <w:rFonts w:ascii="Arial" w:hAnsi="Arial" w:cs="Arial"/>
          <w:sz w:val="20"/>
          <w:szCs w:val="20"/>
        </w:rPr>
        <w:t xml:space="preserve">  </w:t>
      </w:r>
      <w:r w:rsidRPr="00AD03E6">
        <w:rPr>
          <w:rFonts w:ascii="Arial" w:hAnsi="Arial" w:cs="Arial"/>
          <w:sz w:val="20"/>
          <w:szCs w:val="20"/>
        </w:rPr>
        <w:tab/>
        <w:t xml:space="preserve">  </w:t>
      </w:r>
      <w:r w:rsidRPr="00AD03E6">
        <w:rPr>
          <w:rFonts w:ascii="Arial" w:hAnsi="Arial" w:cs="Arial"/>
          <w:sz w:val="20"/>
          <w:szCs w:val="20"/>
        </w:rPr>
        <w:tab/>
        <w:t xml:space="preserve">  </w:t>
      </w:r>
      <w:r w:rsidRPr="00AD03E6">
        <w:rPr>
          <w:rFonts w:ascii="Arial" w:hAnsi="Arial" w:cs="Arial"/>
          <w:sz w:val="20"/>
          <w:szCs w:val="20"/>
        </w:rPr>
        <w:tab/>
        <w:t xml:space="preserve">   </w:t>
      </w:r>
      <w:r w:rsidRPr="00AD03E6">
        <w:rPr>
          <w:rFonts w:ascii="Arial" w:hAnsi="Arial" w:cs="Arial"/>
          <w:sz w:val="20"/>
          <w:szCs w:val="20"/>
        </w:rPr>
        <w:tab/>
        <w:t xml:space="preserve">  </w:t>
      </w:r>
      <w:r w:rsidRPr="00AD03E6">
        <w:rPr>
          <w:rFonts w:ascii="Arial" w:hAnsi="Arial" w:cs="Arial"/>
          <w:sz w:val="20"/>
          <w:szCs w:val="20"/>
        </w:rPr>
        <w:tab/>
        <w:t xml:space="preserve">  </w:t>
      </w:r>
      <w:r w:rsidRPr="00AD03E6">
        <w:rPr>
          <w:rFonts w:ascii="Arial" w:hAnsi="Arial" w:cs="Arial"/>
          <w:sz w:val="20"/>
          <w:szCs w:val="20"/>
        </w:rPr>
        <w:tab/>
        <w:t xml:space="preserve">  </w:t>
      </w:r>
    </w:p>
    <w:tbl>
      <w:tblPr>
        <w:tblW w:w="9733" w:type="dxa"/>
        <w:tblInd w:w="296" w:type="dxa"/>
        <w:tblCellMar>
          <w:top w:w="41" w:type="dxa"/>
          <w:left w:w="106" w:type="dxa"/>
          <w:bottom w:w="6" w:type="dxa"/>
          <w:right w:w="66" w:type="dxa"/>
        </w:tblCellMar>
        <w:tblLook w:val="04A0" w:firstRow="1" w:lastRow="0" w:firstColumn="1" w:lastColumn="0" w:noHBand="0" w:noVBand="1"/>
      </w:tblPr>
      <w:tblGrid>
        <w:gridCol w:w="717"/>
        <w:gridCol w:w="3610"/>
        <w:gridCol w:w="710"/>
        <w:gridCol w:w="1373"/>
        <w:gridCol w:w="1952"/>
        <w:gridCol w:w="1371"/>
      </w:tblGrid>
      <w:tr w:rsidR="00B118D3" w14:paraId="01CC6915" w14:textId="77777777" w:rsidTr="00503B5D">
        <w:trPr>
          <w:trHeight w:val="463"/>
        </w:trPr>
        <w:tc>
          <w:tcPr>
            <w:tcW w:w="0" w:type="auto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bottom"/>
            <w:hideMark/>
          </w:tcPr>
          <w:p w14:paraId="60D2248C" w14:textId="77777777" w:rsidR="00B118D3" w:rsidRPr="00AD03E6" w:rsidRDefault="00B118D3" w:rsidP="00503B5D">
            <w:pPr>
              <w:tabs>
                <w:tab w:val="center" w:pos="187"/>
                <w:tab w:val="center" w:pos="2141"/>
                <w:tab w:val="center" w:pos="6853"/>
                <w:tab w:val="center" w:pos="8572"/>
              </w:tabs>
              <w:suppressAutoHyphens w:val="0"/>
              <w:autoSpaceDN/>
              <w:spacing w:after="0" w:line="256" w:lineRule="auto"/>
              <w:ind w:left="551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ab/>
            </w:r>
            <w:r w:rsidRPr="00AD03E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 xml:space="preserve">. ODRŽAVANJE JAVNIH ZELENIH POVRŠINA 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                                                                          38.000,00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</w:t>
            </w:r>
          </w:p>
          <w:p w14:paraId="78D0EACB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522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D03E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118D3" w14:paraId="7A6A1EFF" w14:textId="77777777" w:rsidTr="00503B5D">
        <w:trPr>
          <w:trHeight w:val="2516"/>
        </w:trPr>
        <w:tc>
          <w:tcPr>
            <w:tcW w:w="0" w:type="auto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  <w:hideMark/>
          </w:tcPr>
          <w:p w14:paraId="19E7FD82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ind w:right="40"/>
              <w:jc w:val="both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i/>
                <w:sz w:val="16"/>
                <w:szCs w:val="16"/>
              </w:rPr>
              <w:t xml:space="preserve">Javne zelene površine su drvoredi, živice, cvjetnjaci, travnjaci, skupine ili pojedinačna stabla, dječja igrališta s pripadajućom opremom, javni športski i rekreacijski prostori, zelene površine uz ceste i ulice, ako nisu sastavni dio nerazvrstane ili druge ceste odnosno ulice i sl.  </w:t>
            </w:r>
          </w:p>
          <w:p w14:paraId="73F52484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ind w:right="42"/>
              <w:jc w:val="both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i/>
                <w:sz w:val="16"/>
                <w:szCs w:val="16"/>
              </w:rPr>
              <w:t xml:space="preserve">Redovno održavanje javnih zelenih površina podrazumijeva košnju trave, orezivanje zelenila i sakupljanje biološkog otpada s javnih zelenih površina, obnovu, održavanje i njegu drveća, ukrasnog grmlja i drugog raslinja, staze, popločenih i nasipanih površina na dječjim igralištima, </w:t>
            </w:r>
            <w:proofErr w:type="spellStart"/>
            <w:r w:rsidRPr="00AD03E6">
              <w:rPr>
                <w:rFonts w:ascii="Arial" w:hAnsi="Arial" w:cs="Arial"/>
                <w:i/>
                <w:sz w:val="16"/>
                <w:szCs w:val="16"/>
              </w:rPr>
              <w:t>fitosanitarnu</w:t>
            </w:r>
            <w:proofErr w:type="spellEnd"/>
            <w:r w:rsidRPr="00AD03E6">
              <w:rPr>
                <w:rFonts w:ascii="Arial" w:hAnsi="Arial" w:cs="Arial"/>
                <w:i/>
                <w:sz w:val="16"/>
                <w:szCs w:val="16"/>
              </w:rPr>
              <w:t xml:space="preserve"> zaštitu bilja i biljnog materijala za potrebe održavanja i druge poslove potrebne za održavanje tih površina. Svi poslovi iz ovog stavka, provode se sukladno godišnjem Planu održavanja javnih zelenih površina. </w:t>
            </w:r>
          </w:p>
          <w:p w14:paraId="1E86C6F4" w14:textId="77777777" w:rsidR="00B118D3" w:rsidRPr="00AD03E6" w:rsidRDefault="00B118D3" w:rsidP="00503B5D">
            <w:pPr>
              <w:suppressAutoHyphens w:val="0"/>
              <w:autoSpaceDN/>
              <w:spacing w:after="2" w:line="240" w:lineRule="auto"/>
              <w:ind w:right="42"/>
              <w:jc w:val="both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i/>
                <w:sz w:val="16"/>
                <w:szCs w:val="16"/>
              </w:rPr>
              <w:t xml:space="preserve">Izvanredno održavanje javnih zelenih  površina čine poslovi preventivne zaštite bilja i drvoreda od bolesti i nametnika te suzbijanje nepoželjne vegetacije, intervencije na održavanju zelenih površina odnosno nepredviđeni radovi i zahvati  na javnim zelenim površinama koji nisu predviđeni u godišnjem Planu održavanja javnih zelenih površina. </w:t>
            </w:r>
          </w:p>
          <w:p w14:paraId="338B40CE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i/>
                <w:sz w:val="16"/>
                <w:szCs w:val="16"/>
              </w:rPr>
              <w:t xml:space="preserve">Održavanje dječjih igrališta obuhvaća tekuće održavanje i preglede dječjih igrališta i javnih sportskih i rekreativnih prostora. </w:t>
            </w:r>
          </w:p>
          <w:p w14:paraId="0041E13A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0"/>
              <w:jc w:val="both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i/>
                <w:sz w:val="16"/>
                <w:szCs w:val="16"/>
              </w:rPr>
              <w:t xml:space="preserve">Investicijsko održavanje dječjih igrališta obuhvaća veće popravke i zamjenu ograda, veće popravke ili potpunu zamjenu sprava na dječjim igralištima, uređenje i sanaciju podnih površina i sl. </w:t>
            </w:r>
          </w:p>
        </w:tc>
      </w:tr>
      <w:tr w:rsidR="00B118D3" w14:paraId="207B62D7" w14:textId="77777777" w:rsidTr="00503B5D">
        <w:trPr>
          <w:trHeight w:val="505"/>
        </w:trPr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54340DEE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5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3.1. 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6C073DE6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5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Održavanje javnih zelenih površina - redovno održavanje 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6CDE839C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37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47 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2F6BD69B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2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28.000,00 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5714D78B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Komunalna naknada 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559DC42A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1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28.000,00</w:t>
            </w:r>
          </w:p>
        </w:tc>
      </w:tr>
      <w:tr w:rsidR="00B118D3" w14:paraId="40030376" w14:textId="77777777" w:rsidTr="00503B5D">
        <w:trPr>
          <w:trHeight w:val="281"/>
        </w:trPr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388B94F1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5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3.2. 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5DDDBC4A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5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Tekuće održavanje igrališta 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1E8D3B73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206 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2B2E7914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2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10.000,00 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30E7C6FD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Komunalna naknada 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46C99FC4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1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</w:tbl>
    <w:p w14:paraId="4EA896DD" w14:textId="77777777" w:rsidR="00B118D3" w:rsidRPr="00AD03E6" w:rsidRDefault="00B118D3" w:rsidP="00B118D3">
      <w:pPr>
        <w:suppressAutoHyphens w:val="0"/>
        <w:autoSpaceDN/>
        <w:spacing w:after="0" w:line="256" w:lineRule="auto"/>
        <w:ind w:left="569"/>
        <w:textAlignment w:val="auto"/>
        <w:rPr>
          <w:rFonts w:ascii="Arial" w:hAnsi="Arial" w:cs="Arial"/>
          <w:sz w:val="20"/>
          <w:szCs w:val="20"/>
        </w:rPr>
      </w:pPr>
      <w:r w:rsidRPr="00AD03E6">
        <w:rPr>
          <w:rFonts w:ascii="Arial" w:hAnsi="Arial" w:cs="Arial"/>
          <w:b/>
          <w:sz w:val="20"/>
          <w:szCs w:val="20"/>
        </w:rPr>
        <w:tab/>
        <w:t xml:space="preserve">  </w:t>
      </w:r>
      <w:r w:rsidRPr="00AD03E6">
        <w:rPr>
          <w:rFonts w:ascii="Arial" w:hAnsi="Arial" w:cs="Arial"/>
          <w:b/>
          <w:sz w:val="20"/>
          <w:szCs w:val="20"/>
        </w:rPr>
        <w:tab/>
      </w:r>
      <w:r w:rsidRPr="00AD03E6">
        <w:rPr>
          <w:rFonts w:ascii="Arial" w:hAnsi="Arial" w:cs="Arial"/>
          <w:sz w:val="20"/>
          <w:szCs w:val="20"/>
        </w:rPr>
        <w:t xml:space="preserve">  </w:t>
      </w:r>
      <w:r w:rsidRPr="00AD03E6">
        <w:rPr>
          <w:rFonts w:ascii="Arial" w:hAnsi="Arial" w:cs="Arial"/>
          <w:sz w:val="20"/>
          <w:szCs w:val="20"/>
        </w:rPr>
        <w:tab/>
      </w:r>
      <w:r w:rsidRPr="00AD03E6">
        <w:rPr>
          <w:rFonts w:ascii="Arial" w:hAnsi="Arial" w:cs="Arial"/>
          <w:b/>
          <w:sz w:val="20"/>
          <w:szCs w:val="20"/>
        </w:rPr>
        <w:t xml:space="preserve">    </w:t>
      </w:r>
    </w:p>
    <w:tbl>
      <w:tblPr>
        <w:tblW w:w="9724" w:type="dxa"/>
        <w:tblInd w:w="305" w:type="dxa"/>
        <w:tblCellMar>
          <w:top w:w="40" w:type="dxa"/>
          <w:left w:w="106" w:type="dxa"/>
          <w:bottom w:w="4" w:type="dxa"/>
          <w:right w:w="66" w:type="dxa"/>
        </w:tblCellMar>
        <w:tblLook w:val="04A0" w:firstRow="1" w:lastRow="0" w:firstColumn="1" w:lastColumn="0" w:noHBand="0" w:noVBand="1"/>
      </w:tblPr>
      <w:tblGrid>
        <w:gridCol w:w="589"/>
        <w:gridCol w:w="4241"/>
        <w:gridCol w:w="791"/>
        <w:gridCol w:w="1269"/>
        <w:gridCol w:w="1731"/>
        <w:gridCol w:w="1103"/>
      </w:tblGrid>
      <w:tr w:rsidR="00B118D3" w14:paraId="353FCA36" w14:textId="77777777" w:rsidTr="00503B5D">
        <w:trPr>
          <w:trHeight w:val="463"/>
        </w:trPr>
        <w:tc>
          <w:tcPr>
            <w:tcW w:w="9724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bottom"/>
            <w:hideMark/>
          </w:tcPr>
          <w:p w14:paraId="34B083B0" w14:textId="77777777" w:rsidR="00B118D3" w:rsidRPr="00AD03E6" w:rsidRDefault="00B118D3" w:rsidP="00503B5D">
            <w:pPr>
              <w:tabs>
                <w:tab w:val="center" w:pos="187"/>
                <w:tab w:val="center" w:pos="2043"/>
                <w:tab w:val="center" w:pos="5396"/>
                <w:tab w:val="center" w:pos="6899"/>
              </w:tabs>
              <w:suppressAutoHyphens w:val="0"/>
              <w:autoSpaceDN/>
              <w:spacing w:after="0" w:line="256" w:lineRule="auto"/>
              <w:ind w:left="551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 xml:space="preserve"> ODRŽAVANJE GROBLJA  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D03E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D03E6">
              <w:rPr>
                <w:rFonts w:ascii="Arial" w:hAnsi="Arial" w:cs="Arial"/>
                <w:sz w:val="16"/>
                <w:szCs w:val="16"/>
              </w:rPr>
              <w:tab/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15.000,00 </w:t>
            </w:r>
          </w:p>
          <w:p w14:paraId="72B8C3E3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521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D03E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118D3" w14:paraId="27A9A45B" w14:textId="77777777" w:rsidTr="00503B5D">
        <w:trPr>
          <w:trHeight w:val="669"/>
        </w:trPr>
        <w:tc>
          <w:tcPr>
            <w:tcW w:w="9724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  <w:hideMark/>
          </w:tcPr>
          <w:p w14:paraId="6B3D3F13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39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i/>
                <w:sz w:val="16"/>
                <w:szCs w:val="16"/>
              </w:rPr>
              <w:t xml:space="preserve">Pod održavanjem groblja i mrtvačnica podrazumijeva se čišćenje i popravci u obimu tekućeg održavanja prostora i zgrada za obavljanje ispraćaja i ukopa pokojnika, puteva, zelenih i drugih površina unutar groblja te održavanje grobnih mjesta u nadležnosti Općine Jelenje. </w:t>
            </w:r>
          </w:p>
        </w:tc>
      </w:tr>
      <w:tr w:rsidR="00B118D3" w14:paraId="6029504E" w14:textId="77777777" w:rsidTr="00503B5D">
        <w:trPr>
          <w:trHeight w:val="282"/>
        </w:trPr>
        <w:tc>
          <w:tcPr>
            <w:tcW w:w="58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3212F2A1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5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4.1. </w:t>
            </w:r>
          </w:p>
        </w:tc>
        <w:tc>
          <w:tcPr>
            <w:tcW w:w="4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1BF2CD7A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5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Održavanje groblja </w:t>
            </w:r>
          </w:p>
        </w:tc>
        <w:tc>
          <w:tcPr>
            <w:tcW w:w="79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4CC183A2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37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26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36E3AE2D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2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15.000,00 </w:t>
            </w:r>
          </w:p>
        </w:tc>
        <w:tc>
          <w:tcPr>
            <w:tcW w:w="173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579DC365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Županijske, gradske i općinske pristojbe i naknade</w:t>
            </w:r>
          </w:p>
        </w:tc>
        <w:tc>
          <w:tcPr>
            <w:tcW w:w="110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5A5DEBBB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1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15.000,00</w:t>
            </w:r>
          </w:p>
        </w:tc>
      </w:tr>
    </w:tbl>
    <w:p w14:paraId="2BFAA557" w14:textId="77777777" w:rsidR="00B118D3" w:rsidRPr="00AD03E6" w:rsidRDefault="00B118D3" w:rsidP="00B118D3">
      <w:pPr>
        <w:suppressAutoHyphens w:val="0"/>
        <w:autoSpaceDN/>
        <w:spacing w:after="0" w:line="256" w:lineRule="auto"/>
        <w:ind w:left="579"/>
        <w:textAlignment w:val="auto"/>
        <w:rPr>
          <w:rFonts w:ascii="Arial" w:hAnsi="Arial" w:cs="Arial"/>
          <w:sz w:val="20"/>
          <w:szCs w:val="20"/>
        </w:rPr>
      </w:pPr>
      <w:r w:rsidRPr="00AD03E6">
        <w:rPr>
          <w:rFonts w:ascii="Arial" w:hAnsi="Arial" w:cs="Arial"/>
          <w:sz w:val="20"/>
          <w:szCs w:val="20"/>
        </w:rPr>
        <w:t xml:space="preserve">  </w:t>
      </w:r>
    </w:p>
    <w:tbl>
      <w:tblPr>
        <w:tblW w:w="9724" w:type="dxa"/>
        <w:tblInd w:w="305" w:type="dxa"/>
        <w:tblCellMar>
          <w:top w:w="40" w:type="dxa"/>
          <w:left w:w="106" w:type="dxa"/>
          <w:bottom w:w="3" w:type="dxa"/>
          <w:right w:w="29" w:type="dxa"/>
        </w:tblCellMar>
        <w:tblLook w:val="04A0" w:firstRow="1" w:lastRow="0" w:firstColumn="1" w:lastColumn="0" w:noHBand="0" w:noVBand="1"/>
      </w:tblPr>
      <w:tblGrid>
        <w:gridCol w:w="588"/>
        <w:gridCol w:w="4249"/>
        <w:gridCol w:w="1113"/>
        <w:gridCol w:w="1269"/>
        <w:gridCol w:w="1402"/>
        <w:gridCol w:w="1103"/>
      </w:tblGrid>
      <w:tr w:rsidR="00B118D3" w14:paraId="150714B2" w14:textId="77777777" w:rsidTr="00503B5D">
        <w:trPr>
          <w:trHeight w:val="462"/>
        </w:trPr>
        <w:tc>
          <w:tcPr>
            <w:tcW w:w="9724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bottom"/>
            <w:hideMark/>
          </w:tcPr>
          <w:p w14:paraId="49A5CEC0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551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 xml:space="preserve"> ODRŽAVANJE JAVNE RASVJETE </w:t>
            </w:r>
            <w:r w:rsidRPr="00AD03E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D03E6"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                                      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 xml:space="preserve">28.000,00 </w:t>
            </w:r>
          </w:p>
          <w:p w14:paraId="78F974E9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559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D03E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118D3" w14:paraId="49FEABEB" w14:textId="77777777" w:rsidTr="00503B5D">
        <w:trPr>
          <w:trHeight w:val="234"/>
        </w:trPr>
        <w:tc>
          <w:tcPr>
            <w:tcW w:w="9724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  <w:hideMark/>
          </w:tcPr>
          <w:p w14:paraId="4BB1A27E" w14:textId="77777777" w:rsidR="00B118D3" w:rsidRPr="00AD03E6" w:rsidRDefault="00B118D3" w:rsidP="00503B5D">
            <w:pPr>
              <w:suppressAutoHyphens w:val="0"/>
              <w:autoSpaceDN/>
              <w:spacing w:after="1" w:line="240" w:lineRule="auto"/>
              <w:ind w:right="81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i/>
                <w:sz w:val="16"/>
                <w:szCs w:val="16"/>
              </w:rPr>
              <w:t xml:space="preserve">Redovno održavanje  javne rasvjete obuhvaća  sve  radnje  vezane  uz  otklanjanje kvarova,  zamjenu  istrošenih  i  neispravnih  dijelova  (rasvjetnih  armatura  i  žarulja,  razvodnih ormara, polja mreže javne rasvjete, kontrolu rada upravljačkih ormara te ostalih elektroinstalacijskih elemenata – osigurači, sklopnici, sklopke i dr.). </w:t>
            </w:r>
          </w:p>
          <w:p w14:paraId="78B38D98" w14:textId="77777777" w:rsidR="00B118D3" w:rsidRPr="00AD03E6" w:rsidRDefault="00B118D3" w:rsidP="00503B5D">
            <w:pPr>
              <w:suppressAutoHyphens w:val="0"/>
              <w:autoSpaceDN/>
              <w:spacing w:after="4" w:line="240" w:lineRule="auto"/>
              <w:ind w:right="80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i/>
                <w:sz w:val="16"/>
                <w:szCs w:val="16"/>
              </w:rPr>
              <w:t xml:space="preserve">Izvanredno održavanje javne rasvjete obuhvaća radove na većim popravcima i zamjenama dotrajalih dijelova potrebnih da se održi javna rasvjeta u tehnički ispravnom stanju (stupovi i svjetiljke) te radove na proširenju javne rasvjete ukoliko se bitno ne mijenjaju tehničke karakteristike i funkcionalnost javne rasvjete. </w:t>
            </w:r>
          </w:p>
          <w:p w14:paraId="1B4BE78C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i/>
                <w:sz w:val="16"/>
                <w:szCs w:val="16"/>
              </w:rPr>
              <w:lastRenderedPageBreak/>
              <w:t>Utrošak električne energije odnosi se na podmirenje troškova električne energije javne rasvjete.</w:t>
            </w:r>
            <w:r w:rsidRPr="00AD03E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118D3" w14:paraId="2553D064" w14:textId="77777777" w:rsidTr="00503B5D">
        <w:trPr>
          <w:trHeight w:val="282"/>
        </w:trPr>
        <w:tc>
          <w:tcPr>
            <w:tcW w:w="58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4A1629D7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82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lastRenderedPageBreak/>
              <w:t xml:space="preserve">5.1. </w:t>
            </w:r>
          </w:p>
        </w:tc>
        <w:tc>
          <w:tcPr>
            <w:tcW w:w="424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4F500448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5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Utrošak električne energije </w:t>
            </w:r>
          </w:p>
        </w:tc>
        <w:tc>
          <w:tcPr>
            <w:tcW w:w="111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4BC11C91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77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48 </w:t>
            </w:r>
          </w:p>
        </w:tc>
        <w:tc>
          <w:tcPr>
            <w:tcW w:w="126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4A71BB6B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80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40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082FE26C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77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Komunalna naknada </w:t>
            </w:r>
          </w:p>
        </w:tc>
        <w:tc>
          <w:tcPr>
            <w:tcW w:w="110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300E07F3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78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B118D3" w14:paraId="231138C4" w14:textId="77777777" w:rsidTr="00503B5D">
        <w:trPr>
          <w:trHeight w:val="281"/>
        </w:trPr>
        <w:tc>
          <w:tcPr>
            <w:tcW w:w="58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1B6E6160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82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5.2. </w:t>
            </w:r>
          </w:p>
        </w:tc>
        <w:tc>
          <w:tcPr>
            <w:tcW w:w="424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749A5991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5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Usluge tekućeg i investicijskog osiguranja </w:t>
            </w:r>
          </w:p>
        </w:tc>
        <w:tc>
          <w:tcPr>
            <w:tcW w:w="111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606B0AA2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74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49 </w:t>
            </w:r>
          </w:p>
        </w:tc>
        <w:tc>
          <w:tcPr>
            <w:tcW w:w="126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0583C58B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79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8.000,00 </w:t>
            </w:r>
          </w:p>
        </w:tc>
        <w:tc>
          <w:tcPr>
            <w:tcW w:w="140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2B3E0D0F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77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Komunalna naknada </w:t>
            </w:r>
          </w:p>
        </w:tc>
        <w:tc>
          <w:tcPr>
            <w:tcW w:w="110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0687CEB2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78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</w:tr>
    </w:tbl>
    <w:p w14:paraId="66BB7039" w14:textId="77777777" w:rsidR="00B118D3" w:rsidRPr="00AD03E6" w:rsidRDefault="00B118D3" w:rsidP="00B118D3">
      <w:pPr>
        <w:suppressAutoHyphens w:val="0"/>
        <w:autoSpaceDN/>
        <w:spacing w:after="0" w:line="256" w:lineRule="auto"/>
        <w:ind w:left="579"/>
        <w:textAlignment w:val="auto"/>
        <w:rPr>
          <w:rFonts w:ascii="Arial" w:hAnsi="Arial" w:cs="Arial"/>
          <w:sz w:val="20"/>
          <w:szCs w:val="20"/>
        </w:rPr>
      </w:pPr>
      <w:r w:rsidRPr="00AD03E6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24" w:type="dxa"/>
        <w:tblInd w:w="305" w:type="dxa"/>
        <w:tblCellMar>
          <w:top w:w="40" w:type="dxa"/>
          <w:left w:w="106" w:type="dxa"/>
          <w:bottom w:w="6" w:type="dxa"/>
          <w:right w:w="66" w:type="dxa"/>
        </w:tblCellMar>
        <w:tblLook w:val="04A0" w:firstRow="1" w:lastRow="0" w:firstColumn="1" w:lastColumn="0" w:noHBand="0" w:noVBand="1"/>
      </w:tblPr>
      <w:tblGrid>
        <w:gridCol w:w="589"/>
        <w:gridCol w:w="4331"/>
        <w:gridCol w:w="1128"/>
        <w:gridCol w:w="1272"/>
        <w:gridCol w:w="1412"/>
        <w:gridCol w:w="992"/>
      </w:tblGrid>
      <w:tr w:rsidR="00B118D3" w14:paraId="4CA77001" w14:textId="77777777" w:rsidTr="00503B5D">
        <w:trPr>
          <w:trHeight w:val="463"/>
        </w:trPr>
        <w:tc>
          <w:tcPr>
            <w:tcW w:w="9724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bottom"/>
            <w:hideMark/>
          </w:tcPr>
          <w:p w14:paraId="3FCD1D50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551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br w:type="page"/>
              <w:t xml:space="preserve"> </w:t>
            </w:r>
            <w:r w:rsidRPr="00AD03E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 xml:space="preserve">. DDD (dezinfekcija, dezinsekcija, deratizacija)                                                                                                       5.600,00    </w:t>
            </w:r>
          </w:p>
          <w:p w14:paraId="3AEA6167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521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D03E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118D3" w14:paraId="04C39BFE" w14:textId="77777777" w:rsidTr="00503B5D">
        <w:trPr>
          <w:trHeight w:val="448"/>
        </w:trPr>
        <w:tc>
          <w:tcPr>
            <w:tcW w:w="9724" w:type="dxa"/>
            <w:gridSpan w:val="6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  <w:hideMark/>
          </w:tcPr>
          <w:p w14:paraId="4E80AA0F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11" w:right="138"/>
              <w:jc w:val="both"/>
              <w:textAlignment w:val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Poslovi dezinsekcije, deratizacije i dezinfekcije obuhvaćaju provođenje preventivne obvezatne dezinsekcije u cilju sustavnog suzbijanja insekata dva puta godišnje na javnim površinama u vlasništvu Općine, provođenje preventivne dezinfekcije na poziv na javnim i drugim površinama u vlasništvu Općine, provođenje preventivne obvezatne deratizacije u cilju sustavnog suzbijanja glodavaca dva puta godišnje na javnim površinama. </w:t>
            </w:r>
            <w:r w:rsidRPr="00AD03E6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</w:p>
          <w:p w14:paraId="3908D72B" w14:textId="77777777" w:rsidR="00B118D3" w:rsidRPr="00AD03E6" w:rsidRDefault="00B118D3" w:rsidP="00503B5D">
            <w:pPr>
              <w:suppressAutoHyphens w:val="0"/>
              <w:autoSpaceDN/>
              <w:spacing w:after="10" w:line="256" w:lineRule="auto"/>
              <w:ind w:left="11" w:right="138"/>
              <w:jc w:val="both"/>
              <w:textAlignment w:val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Nadzor nad mjerama provodi Zavod za javno zdravstvo PGŽ, mjere provodi tvrtka s kojima je sklopljen ugovor. </w:t>
            </w:r>
          </w:p>
          <w:p w14:paraId="23335EAB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11" w:right="138"/>
              <w:jc w:val="both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Deratizacija i dezinsekcija obavlja se dva puta godišnje na javnim površinama, a naročita se pažnja pridaje prostorima oko napuštenih kuća, odvodnih kanala i sl.  </w:t>
            </w:r>
          </w:p>
        </w:tc>
      </w:tr>
      <w:tr w:rsidR="00B118D3" w14:paraId="4FA73D71" w14:textId="77777777" w:rsidTr="00503B5D">
        <w:trPr>
          <w:trHeight w:val="282"/>
        </w:trPr>
        <w:tc>
          <w:tcPr>
            <w:tcW w:w="58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5F4418E4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5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6.1. </w:t>
            </w:r>
          </w:p>
        </w:tc>
        <w:tc>
          <w:tcPr>
            <w:tcW w:w="433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527BD6D1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5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Stručni nadzor nad provedbom DDD mjera </w:t>
            </w:r>
          </w:p>
        </w:tc>
        <w:tc>
          <w:tcPr>
            <w:tcW w:w="112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73ECF0A8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37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63D949FA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2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2.100,00</w:t>
            </w:r>
          </w:p>
        </w:tc>
        <w:tc>
          <w:tcPr>
            <w:tcW w:w="14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21F7D9DC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Komunalna naknada </w:t>
            </w:r>
          </w:p>
        </w:tc>
        <w:tc>
          <w:tcPr>
            <w:tcW w:w="99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3C6D7ED3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1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2.100,00</w:t>
            </w:r>
          </w:p>
        </w:tc>
      </w:tr>
      <w:tr w:rsidR="00B118D3" w14:paraId="5115BAE4" w14:textId="77777777" w:rsidTr="00503B5D">
        <w:trPr>
          <w:trHeight w:val="278"/>
        </w:trPr>
        <w:tc>
          <w:tcPr>
            <w:tcW w:w="58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5DECFB41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5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6.2. </w:t>
            </w:r>
          </w:p>
        </w:tc>
        <w:tc>
          <w:tcPr>
            <w:tcW w:w="433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676FD955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5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Deratizacija i dezinsekcija </w:t>
            </w:r>
          </w:p>
        </w:tc>
        <w:tc>
          <w:tcPr>
            <w:tcW w:w="112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48F18139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39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63 </w:t>
            </w:r>
          </w:p>
        </w:tc>
        <w:tc>
          <w:tcPr>
            <w:tcW w:w="12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73F73E65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2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3.500,00 </w:t>
            </w:r>
          </w:p>
        </w:tc>
        <w:tc>
          <w:tcPr>
            <w:tcW w:w="14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6F21AEF6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Komunalna naknada </w:t>
            </w:r>
          </w:p>
        </w:tc>
        <w:tc>
          <w:tcPr>
            <w:tcW w:w="99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hideMark/>
          </w:tcPr>
          <w:p w14:paraId="7A420062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1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3.500,00 </w:t>
            </w:r>
          </w:p>
        </w:tc>
      </w:tr>
    </w:tbl>
    <w:p w14:paraId="49AFB071" w14:textId="77777777" w:rsidR="00B118D3" w:rsidRPr="00AD03E6" w:rsidRDefault="00B118D3" w:rsidP="00B118D3">
      <w:pPr>
        <w:suppressAutoHyphens w:val="0"/>
        <w:autoSpaceDN/>
        <w:spacing w:after="0" w:line="256" w:lineRule="auto"/>
        <w:ind w:left="1569"/>
        <w:jc w:val="center"/>
        <w:textAlignment w:val="auto"/>
        <w:rPr>
          <w:rFonts w:ascii="Arial" w:hAnsi="Arial" w:cs="Arial"/>
          <w:sz w:val="20"/>
          <w:szCs w:val="20"/>
        </w:rPr>
      </w:pPr>
      <w:r w:rsidRPr="00AD03E6">
        <w:rPr>
          <w:rFonts w:ascii="Arial" w:hAnsi="Arial" w:cs="Arial"/>
          <w:i/>
          <w:sz w:val="20"/>
          <w:szCs w:val="20"/>
        </w:rPr>
        <w:t xml:space="preserve">  </w:t>
      </w:r>
      <w:r w:rsidRPr="00AD03E6">
        <w:rPr>
          <w:rFonts w:ascii="Arial" w:hAnsi="Arial" w:cs="Arial"/>
          <w:i/>
          <w:sz w:val="20"/>
          <w:szCs w:val="20"/>
        </w:rPr>
        <w:tab/>
        <w:t xml:space="preserve">  </w:t>
      </w:r>
      <w:r w:rsidRPr="00AD03E6">
        <w:rPr>
          <w:rFonts w:ascii="Arial" w:hAnsi="Arial" w:cs="Arial"/>
          <w:i/>
          <w:sz w:val="20"/>
          <w:szCs w:val="20"/>
        </w:rPr>
        <w:tab/>
        <w:t xml:space="preserve">  </w:t>
      </w:r>
    </w:p>
    <w:tbl>
      <w:tblPr>
        <w:tblW w:w="9781" w:type="dxa"/>
        <w:tblInd w:w="248" w:type="dxa"/>
        <w:tblCellMar>
          <w:top w:w="40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699"/>
        <w:gridCol w:w="53"/>
        <w:gridCol w:w="4212"/>
        <w:gridCol w:w="1115"/>
        <w:gridCol w:w="56"/>
        <w:gridCol w:w="1130"/>
        <w:gridCol w:w="15"/>
        <w:gridCol w:w="1423"/>
        <w:gridCol w:w="15"/>
        <w:gridCol w:w="6"/>
        <w:gridCol w:w="1057"/>
      </w:tblGrid>
      <w:tr w:rsidR="00B118D3" w14:paraId="42216286" w14:textId="77777777" w:rsidTr="00503B5D">
        <w:trPr>
          <w:trHeight w:val="463"/>
        </w:trPr>
        <w:tc>
          <w:tcPr>
            <w:tcW w:w="9781" w:type="dxa"/>
            <w:gridSpan w:val="11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center"/>
            <w:hideMark/>
          </w:tcPr>
          <w:p w14:paraId="7410C34D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551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sz w:val="16"/>
                <w:szCs w:val="16"/>
              </w:rPr>
              <w:t xml:space="preserve">7. PRIJEVOZ POKOJNIKA SUKLADNO ZAKONSKOJ OBVEZI                                                                                   1.500,00     </w:t>
            </w:r>
          </w:p>
        </w:tc>
      </w:tr>
      <w:tr w:rsidR="00B118D3" w14:paraId="0951641D" w14:textId="77777777" w:rsidTr="00503B5D">
        <w:trPr>
          <w:trHeight w:val="587"/>
        </w:trPr>
        <w:tc>
          <w:tcPr>
            <w:tcW w:w="9781" w:type="dxa"/>
            <w:gridSpan w:val="11"/>
            <w:tcBorders>
              <w:top w:val="single" w:sz="4" w:space="0" w:color="C8C8C8"/>
              <w:left w:val="single" w:sz="4" w:space="0" w:color="C8C8C8"/>
              <w:bottom w:val="dotted" w:sz="4" w:space="0" w:color="auto"/>
              <w:right w:val="single" w:sz="4" w:space="0" w:color="C8C8C8"/>
            </w:tcBorders>
            <w:shd w:val="clear" w:color="auto" w:fill="F4F2F1"/>
            <w:vAlign w:val="center"/>
            <w:hideMark/>
          </w:tcPr>
          <w:p w14:paraId="15CD8AC5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i/>
                <w:sz w:val="16"/>
                <w:szCs w:val="16"/>
              </w:rPr>
              <w:t xml:space="preserve">Prijevoz pokojnika obuhvaća uslugu preuzimanja i prijevoz umrle osobe ili posmrtnih ostataka od mjesta smrti do nadležne patologije ili sudske medicine, za koje nije moguće utvrditi uzrok smrti bez obdukcije, a sukladno Zakonu o </w:t>
            </w:r>
            <w:proofErr w:type="spellStart"/>
            <w:r w:rsidRPr="00AD03E6">
              <w:rPr>
                <w:rFonts w:ascii="Arial" w:hAnsi="Arial" w:cs="Arial"/>
                <w:i/>
                <w:sz w:val="16"/>
                <w:szCs w:val="16"/>
              </w:rPr>
              <w:t>pogrebničkoj</w:t>
            </w:r>
            <w:proofErr w:type="spellEnd"/>
            <w:r w:rsidRPr="00AD03E6">
              <w:rPr>
                <w:rFonts w:ascii="Arial" w:hAnsi="Arial" w:cs="Arial"/>
                <w:i/>
                <w:sz w:val="16"/>
                <w:szCs w:val="16"/>
              </w:rPr>
              <w:t xml:space="preserve"> djelatnosti. </w:t>
            </w:r>
          </w:p>
        </w:tc>
      </w:tr>
      <w:tr w:rsidR="00B118D3" w14:paraId="7EEA1634" w14:textId="77777777" w:rsidTr="00503B5D">
        <w:trPr>
          <w:trHeight w:val="490"/>
        </w:trPr>
        <w:tc>
          <w:tcPr>
            <w:tcW w:w="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7A5706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7.1. </w:t>
            </w:r>
          </w:p>
        </w:tc>
        <w:tc>
          <w:tcPr>
            <w:tcW w:w="42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693447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iCs/>
                <w:sz w:val="16"/>
                <w:szCs w:val="16"/>
              </w:rPr>
              <w:t>Prijevoz pokojnika</w:t>
            </w: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07835A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iCs/>
                <w:sz w:val="16"/>
                <w:szCs w:val="16"/>
              </w:rPr>
              <w:t>205</w:t>
            </w: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46DB68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iCs/>
                <w:sz w:val="16"/>
                <w:szCs w:val="16"/>
              </w:rPr>
              <w:t>1.500,00</w:t>
            </w: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5BD1BE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Županijske, gradske i općinske pristojbe i naknade</w:t>
            </w:r>
          </w:p>
        </w:tc>
        <w:tc>
          <w:tcPr>
            <w:tcW w:w="10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8A18E6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iCs/>
                <w:sz w:val="16"/>
                <w:szCs w:val="16"/>
              </w:rPr>
              <w:t>1.500,00</w:t>
            </w:r>
          </w:p>
        </w:tc>
      </w:tr>
      <w:tr w:rsidR="00B118D3" w14:paraId="4E08B9D1" w14:textId="77777777" w:rsidTr="00503B5D">
        <w:trPr>
          <w:trHeight w:val="203"/>
        </w:trPr>
        <w:tc>
          <w:tcPr>
            <w:tcW w:w="69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562C33F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8E9398D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651C531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A06C304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0743E9B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6928517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B118D3" w14:paraId="4605E55D" w14:textId="77777777" w:rsidTr="00503B5D">
        <w:trPr>
          <w:trHeight w:val="462"/>
        </w:trPr>
        <w:tc>
          <w:tcPr>
            <w:tcW w:w="9781" w:type="dxa"/>
            <w:gridSpan w:val="11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5E0B3"/>
            <w:vAlign w:val="center"/>
            <w:hideMark/>
          </w:tcPr>
          <w:p w14:paraId="3FCD676F" w14:textId="77777777" w:rsidR="00B118D3" w:rsidRPr="00AD03E6" w:rsidRDefault="00B118D3" w:rsidP="00503B5D">
            <w:pPr>
              <w:tabs>
                <w:tab w:val="center" w:pos="1356"/>
                <w:tab w:val="center" w:pos="6899"/>
              </w:tabs>
              <w:suppressAutoHyphens w:val="0"/>
              <w:autoSpaceDN/>
              <w:spacing w:after="0" w:line="256" w:lineRule="auto"/>
              <w:ind w:left="551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ab/>
              <w:t xml:space="preserve">OSTALE AKTIVNOSTI 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</w:t>
            </w:r>
            <w:r w:rsidRPr="00AD03E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D03E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</w:t>
            </w:r>
            <w:r w:rsidRPr="00AD03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28.000,00</w:t>
            </w:r>
          </w:p>
        </w:tc>
      </w:tr>
      <w:tr w:rsidR="00B118D3" w14:paraId="1FDD217A" w14:textId="77777777" w:rsidTr="00503B5D">
        <w:trPr>
          <w:trHeight w:val="887"/>
        </w:trPr>
        <w:tc>
          <w:tcPr>
            <w:tcW w:w="9781" w:type="dxa"/>
            <w:gridSpan w:val="11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4F2F1"/>
            <w:vAlign w:val="center"/>
            <w:hideMark/>
          </w:tcPr>
          <w:p w14:paraId="6B3D0B08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1"/>
              <w:jc w:val="both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i/>
                <w:sz w:val="16"/>
                <w:szCs w:val="16"/>
              </w:rPr>
              <w:t>Ostale aktivnosti obuhvaćaju sufinanciranje troškova higijeničarske službe, sakupljanja, prijevoza i neškodljivo uklanjanje lešina s javnih površina, zbrinjavanje pasa i mačaka lutalica sukladno Zakonu o zaštiti životinja, provođenje mjera nadzora divljači, odvoz krupnog otpada s javnih i zelenih površina</w:t>
            </w:r>
          </w:p>
        </w:tc>
      </w:tr>
      <w:tr w:rsidR="00B118D3" w14:paraId="1483B240" w14:textId="77777777" w:rsidTr="00503B5D">
        <w:trPr>
          <w:trHeight w:val="282"/>
        </w:trPr>
        <w:tc>
          <w:tcPr>
            <w:tcW w:w="752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015A0AA2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5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8.1. </w:t>
            </w:r>
          </w:p>
        </w:tc>
        <w:tc>
          <w:tcPr>
            <w:tcW w:w="42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76569D00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Higijeničarske usluge </w:t>
            </w:r>
          </w:p>
        </w:tc>
        <w:tc>
          <w:tcPr>
            <w:tcW w:w="111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73D1F306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2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56  </w:t>
            </w:r>
          </w:p>
        </w:tc>
        <w:tc>
          <w:tcPr>
            <w:tcW w:w="1201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58651375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1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1438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dotted" w:sz="4" w:space="0" w:color="auto"/>
            </w:tcBorders>
            <w:vAlign w:val="center"/>
            <w:hideMark/>
          </w:tcPr>
          <w:p w14:paraId="38A84719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67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 Komunalna naknada</w:t>
            </w:r>
          </w:p>
        </w:tc>
        <w:tc>
          <w:tcPr>
            <w:tcW w:w="1063" w:type="dxa"/>
            <w:gridSpan w:val="2"/>
            <w:tcBorders>
              <w:top w:val="single" w:sz="4" w:space="0" w:color="C8C8C8"/>
              <w:left w:val="dotted" w:sz="4" w:space="0" w:color="auto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2ABC4A86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B118D3" w14:paraId="50DC6E62" w14:textId="77777777" w:rsidTr="00503B5D">
        <w:trPr>
          <w:trHeight w:val="279"/>
        </w:trPr>
        <w:tc>
          <w:tcPr>
            <w:tcW w:w="752" w:type="dxa"/>
            <w:gridSpan w:val="2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1B5A043D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5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8.2. </w:t>
            </w:r>
          </w:p>
        </w:tc>
        <w:tc>
          <w:tcPr>
            <w:tcW w:w="4212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67615A78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2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Zbrinjavanje nepoželjne divljači </w:t>
            </w:r>
          </w:p>
        </w:tc>
        <w:tc>
          <w:tcPr>
            <w:tcW w:w="111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1CD8A448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1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186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3E232D35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3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2.000,00 </w:t>
            </w:r>
          </w:p>
        </w:tc>
        <w:tc>
          <w:tcPr>
            <w:tcW w:w="1459" w:type="dxa"/>
            <w:gridSpan w:val="4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dotted" w:sz="4" w:space="0" w:color="auto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668A15EE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4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Komunalna naknada</w:t>
            </w:r>
          </w:p>
        </w:tc>
        <w:tc>
          <w:tcPr>
            <w:tcW w:w="1057" w:type="dxa"/>
            <w:tcBorders>
              <w:top w:val="single" w:sz="4" w:space="0" w:color="C8C8C8"/>
              <w:left w:val="dotted" w:sz="4" w:space="0" w:color="auto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5A7836D5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3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B118D3" w14:paraId="42C51E6A" w14:textId="77777777" w:rsidTr="00503B5D">
        <w:trPr>
          <w:trHeight w:val="279"/>
        </w:trPr>
        <w:tc>
          <w:tcPr>
            <w:tcW w:w="0" w:type="auto"/>
            <w:gridSpan w:val="2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338379BF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55E26D8D" w14:textId="77777777" w:rsidR="00B118D3" w:rsidRPr="00AD03E6" w:rsidRDefault="00B118D3" w:rsidP="00503B5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6A9199E7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1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186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6ECA3165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3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459" w:type="dxa"/>
            <w:gridSpan w:val="4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dotted" w:sz="4" w:space="0" w:color="auto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5DD5E0E8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4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Komunalna naknada</w:t>
            </w:r>
          </w:p>
        </w:tc>
        <w:tc>
          <w:tcPr>
            <w:tcW w:w="1057" w:type="dxa"/>
            <w:tcBorders>
              <w:top w:val="single" w:sz="4" w:space="0" w:color="C8C8C8"/>
              <w:left w:val="dotted" w:sz="4" w:space="0" w:color="auto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71220FCD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3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B118D3" w14:paraId="486CF663" w14:textId="77777777" w:rsidTr="00503B5D">
        <w:trPr>
          <w:trHeight w:val="281"/>
        </w:trPr>
        <w:tc>
          <w:tcPr>
            <w:tcW w:w="752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1F2C9490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5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8.3. </w:t>
            </w:r>
          </w:p>
        </w:tc>
        <w:tc>
          <w:tcPr>
            <w:tcW w:w="42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0C4C19CE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2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Odvoz krupnog otpada</w:t>
            </w:r>
          </w:p>
        </w:tc>
        <w:tc>
          <w:tcPr>
            <w:tcW w:w="111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5E869DDF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1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55 </w:t>
            </w:r>
          </w:p>
        </w:tc>
        <w:tc>
          <w:tcPr>
            <w:tcW w:w="1186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6D634A07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3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 xml:space="preserve">6.000,00 </w:t>
            </w:r>
          </w:p>
        </w:tc>
        <w:tc>
          <w:tcPr>
            <w:tcW w:w="1459" w:type="dxa"/>
            <w:gridSpan w:val="4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151BDC77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4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eastAsia="Times New Roman" w:hAnsi="Arial" w:cs="Arial"/>
                <w:sz w:val="16"/>
                <w:szCs w:val="16"/>
              </w:rPr>
              <w:t>Komunalna naknada</w:t>
            </w:r>
          </w:p>
        </w:tc>
        <w:tc>
          <w:tcPr>
            <w:tcW w:w="105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64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14:paraId="68E586B0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3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</w:tbl>
    <w:p w14:paraId="173515C0" w14:textId="77777777" w:rsidR="00B118D3" w:rsidRPr="00AD03E6" w:rsidRDefault="00B118D3" w:rsidP="00B118D3">
      <w:pPr>
        <w:suppressAutoHyphens w:val="0"/>
        <w:autoSpaceDN/>
        <w:spacing w:after="0" w:line="256" w:lineRule="auto"/>
        <w:ind w:left="468"/>
        <w:textAlignment w:val="auto"/>
        <w:rPr>
          <w:rFonts w:ascii="Arial" w:hAnsi="Arial" w:cs="Arial"/>
          <w:sz w:val="20"/>
          <w:szCs w:val="20"/>
        </w:rPr>
      </w:pPr>
      <w:r w:rsidRPr="00AD03E6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9781" w:type="dxa"/>
        <w:tblInd w:w="250" w:type="dxa"/>
        <w:tblCellMar>
          <w:right w:w="61" w:type="dxa"/>
        </w:tblCellMar>
        <w:tblLook w:val="04A0" w:firstRow="1" w:lastRow="0" w:firstColumn="1" w:lastColumn="0" w:noHBand="0" w:noVBand="1"/>
      </w:tblPr>
      <w:tblGrid>
        <w:gridCol w:w="3321"/>
        <w:gridCol w:w="6460"/>
      </w:tblGrid>
      <w:tr w:rsidR="00B118D3" w14:paraId="1A8BA2FE" w14:textId="77777777" w:rsidTr="00503B5D">
        <w:trPr>
          <w:trHeight w:val="706"/>
        </w:trPr>
        <w:tc>
          <w:tcPr>
            <w:tcW w:w="9781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A8D08D"/>
            <w:vAlign w:val="center"/>
          </w:tcPr>
          <w:p w14:paraId="6A901BCC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1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5875207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38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sz w:val="16"/>
                <w:szCs w:val="16"/>
              </w:rPr>
              <w:t xml:space="preserve">PROCJENA TROŠKOVA ODRŽAVANJA KOMUNALNE INFRASTRUKTURE ZA 2024. GODINU  (u eurima) </w:t>
            </w:r>
          </w:p>
          <w:p w14:paraId="2362A61E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left="38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18D3" w14:paraId="1A0A7B3B" w14:textId="77777777" w:rsidTr="00503B5D">
        <w:trPr>
          <w:trHeight w:val="491"/>
        </w:trPr>
        <w:tc>
          <w:tcPr>
            <w:tcW w:w="332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79F8B8CC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sz w:val="16"/>
                <w:szCs w:val="16"/>
              </w:rPr>
              <w:t xml:space="preserve">SVEUKUPNO </w:t>
            </w:r>
          </w:p>
        </w:tc>
        <w:tc>
          <w:tcPr>
            <w:tcW w:w="64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  <w:hideMark/>
          </w:tcPr>
          <w:p w14:paraId="55D651BC" w14:textId="77777777" w:rsidR="00B118D3" w:rsidRPr="00AD03E6" w:rsidRDefault="00B118D3" w:rsidP="00503B5D">
            <w:pPr>
              <w:suppressAutoHyphens w:val="0"/>
              <w:autoSpaceDN/>
              <w:spacing w:after="0" w:line="256" w:lineRule="auto"/>
              <w:ind w:right="48"/>
              <w:jc w:val="right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3E6">
              <w:rPr>
                <w:rFonts w:ascii="Arial" w:hAnsi="Arial" w:cs="Arial"/>
                <w:b/>
                <w:sz w:val="16"/>
                <w:szCs w:val="16"/>
              </w:rPr>
              <w:t xml:space="preserve">408.100,00 </w:t>
            </w:r>
          </w:p>
        </w:tc>
      </w:tr>
    </w:tbl>
    <w:p w14:paraId="1F26496C" w14:textId="77777777" w:rsidR="00B118D3" w:rsidRPr="00AD03E6" w:rsidRDefault="00B118D3" w:rsidP="00B118D3">
      <w:pPr>
        <w:suppressAutoHyphens w:val="0"/>
        <w:autoSpaceDN/>
        <w:spacing w:after="19" w:line="256" w:lineRule="auto"/>
        <w:ind w:left="468"/>
        <w:textAlignment w:val="auto"/>
        <w:rPr>
          <w:rFonts w:ascii="Arial" w:hAnsi="Arial" w:cs="Arial"/>
          <w:sz w:val="20"/>
          <w:szCs w:val="20"/>
        </w:rPr>
      </w:pPr>
      <w:r w:rsidRPr="00AD03E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ADB768C" w14:textId="77777777" w:rsidR="00B118D3" w:rsidRPr="00AD03E6" w:rsidRDefault="00B118D3" w:rsidP="00B118D3">
      <w:pPr>
        <w:suppressAutoHyphens w:val="0"/>
        <w:autoSpaceDN/>
        <w:spacing w:after="160" w:line="256" w:lineRule="auto"/>
        <w:textAlignment w:val="auto"/>
      </w:pPr>
    </w:p>
    <w:p w14:paraId="705FA92E" w14:textId="6DAB14FE" w:rsidR="00B118D3" w:rsidRPr="00AD03E6" w:rsidRDefault="00B118D3" w:rsidP="00B118D3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</w:rPr>
      </w:pPr>
      <w:r w:rsidRPr="00AD03E6">
        <w:rPr>
          <w:rFonts w:ascii="Arial" w:hAnsi="Arial" w:cs="Arial"/>
          <w:b/>
          <w:bCs/>
        </w:rPr>
        <w:t xml:space="preserve">Članak </w:t>
      </w:r>
      <w:r>
        <w:rPr>
          <w:rFonts w:ascii="Arial" w:hAnsi="Arial" w:cs="Arial"/>
          <w:b/>
          <w:bCs/>
        </w:rPr>
        <w:t>4</w:t>
      </w:r>
      <w:r w:rsidRPr="00AD03E6">
        <w:rPr>
          <w:rFonts w:ascii="Arial" w:hAnsi="Arial" w:cs="Arial"/>
          <w:b/>
          <w:bCs/>
        </w:rPr>
        <w:t>.</w:t>
      </w:r>
    </w:p>
    <w:p w14:paraId="20EA3F20" w14:textId="77777777" w:rsidR="00B118D3" w:rsidRPr="00AD03E6" w:rsidRDefault="00B118D3" w:rsidP="00B118D3">
      <w:pPr>
        <w:suppressAutoHyphens w:val="0"/>
        <w:autoSpaceDN/>
        <w:spacing w:after="100" w:line="256" w:lineRule="auto"/>
        <w:ind w:left="11" w:right="138"/>
        <w:jc w:val="both"/>
        <w:textAlignment w:val="auto"/>
        <w:rPr>
          <w:rFonts w:ascii="Arial" w:hAnsi="Arial" w:cs="Arial"/>
        </w:rPr>
      </w:pPr>
      <w:r w:rsidRPr="00AD03E6">
        <w:rPr>
          <w:rFonts w:ascii="Arial" w:hAnsi="Arial" w:cs="Arial"/>
        </w:rPr>
        <w:t xml:space="preserve">Svi radovi iz ovog Programa izvodit će se prema prioritetu koji utvrdi općinski načelnik Općine Jelenje. </w:t>
      </w:r>
    </w:p>
    <w:p w14:paraId="55847A60" w14:textId="77777777" w:rsidR="00B118D3" w:rsidRPr="00AD03E6" w:rsidRDefault="00B118D3" w:rsidP="00B118D3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5657A737" w14:textId="6353FE66" w:rsidR="00B118D3" w:rsidRPr="00AD03E6" w:rsidRDefault="00B118D3" w:rsidP="00B118D3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</w:rPr>
      </w:pPr>
      <w:r w:rsidRPr="00AD03E6">
        <w:rPr>
          <w:rFonts w:ascii="Arial" w:hAnsi="Arial" w:cs="Arial"/>
          <w:b/>
          <w:bCs/>
        </w:rPr>
        <w:t xml:space="preserve">Članak </w:t>
      </w:r>
      <w:r>
        <w:rPr>
          <w:rFonts w:ascii="Arial" w:hAnsi="Arial" w:cs="Arial"/>
          <w:b/>
          <w:bCs/>
        </w:rPr>
        <w:t>5</w:t>
      </w:r>
      <w:r w:rsidRPr="00AD03E6">
        <w:rPr>
          <w:rFonts w:ascii="Arial" w:hAnsi="Arial" w:cs="Arial"/>
          <w:b/>
          <w:bCs/>
        </w:rPr>
        <w:t>.</w:t>
      </w:r>
    </w:p>
    <w:p w14:paraId="7BB6C9DC" w14:textId="77777777" w:rsidR="00B118D3" w:rsidRPr="00AD03E6" w:rsidRDefault="00B118D3" w:rsidP="00B118D3">
      <w:pPr>
        <w:suppressAutoHyphens w:val="0"/>
        <w:autoSpaceDN/>
        <w:spacing w:after="0"/>
        <w:jc w:val="both"/>
        <w:textAlignment w:val="auto"/>
        <w:rPr>
          <w:rFonts w:ascii="Arial" w:hAnsi="Arial" w:cs="Arial"/>
        </w:rPr>
      </w:pPr>
      <w:r w:rsidRPr="00AD03E6">
        <w:rPr>
          <w:rFonts w:ascii="Arial" w:hAnsi="Arial" w:cs="Arial"/>
        </w:rPr>
        <w:lastRenderedPageBreak/>
        <w:t>Ovaj Program stupa na snagu osmog dana od dana od objave u „Službenim novinama Općine Jelenje“, a primjenjuje se od 1. siječnja 2024.</w:t>
      </w:r>
    </w:p>
    <w:p w14:paraId="2E6AF7CE" w14:textId="77777777" w:rsidR="00B118D3" w:rsidRPr="00AD03E6" w:rsidRDefault="00B118D3" w:rsidP="00B118D3">
      <w:pPr>
        <w:suppressAutoHyphens w:val="0"/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5C05D966" w14:textId="77777777" w:rsidR="00F12269" w:rsidRDefault="00F12269" w:rsidP="00F12269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KLASA: 024-04/23-01/8</w:t>
      </w:r>
    </w:p>
    <w:p w14:paraId="6771F86B" w14:textId="715C745A" w:rsidR="00F12269" w:rsidRDefault="00F12269" w:rsidP="00F12269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URBROJ: 2170-20-03-01/03-23-1</w:t>
      </w:r>
      <w:r>
        <w:rPr>
          <w:rFonts w:ascii="Arial" w:hAnsi="Arial" w:cs="Arial"/>
          <w:sz w:val="22"/>
          <w:szCs w:val="22"/>
          <w:lang w:val="pl-PL"/>
        </w:rPr>
        <w:t>5</w:t>
      </w:r>
    </w:p>
    <w:p w14:paraId="1A53FCF6" w14:textId="77777777" w:rsidR="00F12269" w:rsidRDefault="00F12269" w:rsidP="00F12269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Dražice, 22. prosinca 2023.</w:t>
      </w:r>
    </w:p>
    <w:p w14:paraId="58B16F7A" w14:textId="77777777" w:rsidR="00B118D3" w:rsidRPr="00AD03E6" w:rsidRDefault="00B118D3" w:rsidP="00B118D3">
      <w:pPr>
        <w:suppressAutoHyphens w:val="0"/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6EE91A9F" w14:textId="0823060F" w:rsidR="00B118D3" w:rsidRPr="00AD03E6" w:rsidRDefault="00B118D3" w:rsidP="00B118D3">
      <w:pPr>
        <w:suppressAutoHyphens w:val="0"/>
        <w:autoSpaceDN/>
        <w:spacing w:after="0"/>
        <w:jc w:val="both"/>
        <w:textAlignment w:val="auto"/>
        <w:rPr>
          <w:rFonts w:ascii="Arial" w:hAnsi="Arial" w:cs="Arial"/>
        </w:rPr>
      </w:pPr>
      <w:r w:rsidRPr="00AD03E6">
        <w:rPr>
          <w:rFonts w:ascii="Arial" w:hAnsi="Arial" w:cs="Arial"/>
        </w:rPr>
        <w:t xml:space="preserve"> </w:t>
      </w:r>
    </w:p>
    <w:p w14:paraId="7FAF3D45" w14:textId="77777777" w:rsidR="00B118D3" w:rsidRPr="00AD03E6" w:rsidRDefault="00B118D3" w:rsidP="00B118D3">
      <w:pPr>
        <w:suppressAutoHyphens w:val="0"/>
        <w:autoSpaceDN/>
        <w:spacing w:after="0"/>
        <w:jc w:val="right"/>
        <w:textAlignment w:val="auto"/>
        <w:rPr>
          <w:rFonts w:ascii="Arial" w:hAnsi="Arial" w:cs="Arial"/>
        </w:rPr>
      </w:pPr>
    </w:p>
    <w:p w14:paraId="00CE757C" w14:textId="77777777" w:rsidR="00B118D3" w:rsidRPr="00AD03E6" w:rsidRDefault="00B118D3" w:rsidP="00B118D3">
      <w:pPr>
        <w:suppressAutoHyphens w:val="0"/>
        <w:autoSpaceDN/>
        <w:spacing w:after="0"/>
        <w:ind w:left="5040"/>
        <w:jc w:val="right"/>
        <w:textAlignment w:val="auto"/>
        <w:rPr>
          <w:rFonts w:ascii="Arial" w:eastAsia="Times New Roman" w:hAnsi="Arial" w:cs="Arial"/>
        </w:rPr>
      </w:pPr>
      <w:r w:rsidRPr="00AD03E6">
        <w:rPr>
          <w:rFonts w:ascii="Arial" w:eastAsia="Times New Roman" w:hAnsi="Arial" w:cs="Arial"/>
        </w:rPr>
        <w:t>PREDSJEDNICA OPĆINSKOG VIJEĆA</w:t>
      </w:r>
    </w:p>
    <w:p w14:paraId="0B7DBB71" w14:textId="77777777" w:rsidR="00B118D3" w:rsidRPr="00AD03E6" w:rsidRDefault="00B118D3" w:rsidP="00B118D3">
      <w:pPr>
        <w:suppressAutoHyphens w:val="0"/>
        <w:autoSpaceDN/>
        <w:spacing w:after="0"/>
        <w:ind w:left="5040"/>
        <w:jc w:val="right"/>
        <w:textAlignment w:val="auto"/>
        <w:rPr>
          <w:rFonts w:ascii="Arial" w:eastAsia="Times New Roman" w:hAnsi="Arial" w:cs="Arial"/>
        </w:rPr>
      </w:pPr>
      <w:r w:rsidRPr="00AD03E6">
        <w:rPr>
          <w:rFonts w:ascii="Arial" w:eastAsia="Times New Roman" w:hAnsi="Arial" w:cs="Arial"/>
        </w:rPr>
        <w:t>OPĆINE JELENJE</w:t>
      </w:r>
    </w:p>
    <w:p w14:paraId="718C83AA" w14:textId="77777777" w:rsidR="00B118D3" w:rsidRPr="00AD03E6" w:rsidRDefault="00B118D3" w:rsidP="00B118D3">
      <w:pPr>
        <w:suppressAutoHyphens w:val="0"/>
        <w:autoSpaceDN/>
        <w:spacing w:after="160"/>
        <w:ind w:left="5040"/>
        <w:jc w:val="right"/>
        <w:textAlignment w:val="auto"/>
        <w:rPr>
          <w:rFonts w:ascii="Arial" w:eastAsia="Times New Roman" w:hAnsi="Arial" w:cs="Arial"/>
        </w:rPr>
      </w:pPr>
    </w:p>
    <w:p w14:paraId="36A3FD24" w14:textId="77777777" w:rsidR="00B118D3" w:rsidRPr="00AD03E6" w:rsidRDefault="00B118D3" w:rsidP="00B118D3">
      <w:pPr>
        <w:suppressAutoHyphens w:val="0"/>
        <w:autoSpaceDN/>
        <w:spacing w:after="160"/>
        <w:ind w:left="5040"/>
        <w:jc w:val="right"/>
        <w:textAlignment w:val="auto"/>
        <w:rPr>
          <w:rFonts w:ascii="Arial" w:eastAsia="Times New Roman" w:hAnsi="Arial" w:cs="Arial"/>
        </w:rPr>
      </w:pPr>
      <w:r w:rsidRPr="00AD03E6">
        <w:rPr>
          <w:rFonts w:ascii="Arial" w:eastAsia="Times New Roman" w:hAnsi="Arial" w:cs="Arial"/>
        </w:rPr>
        <w:t xml:space="preserve">Izabela </w:t>
      </w:r>
      <w:proofErr w:type="spellStart"/>
      <w:r w:rsidRPr="00AD03E6">
        <w:rPr>
          <w:rFonts w:ascii="Arial" w:eastAsia="Times New Roman" w:hAnsi="Arial" w:cs="Arial"/>
        </w:rPr>
        <w:t>Nemaz</w:t>
      </w:r>
      <w:proofErr w:type="spellEnd"/>
    </w:p>
    <w:p w14:paraId="4C33315C" w14:textId="77777777" w:rsidR="00B118D3" w:rsidRPr="00AD03E6" w:rsidRDefault="00B118D3" w:rsidP="00B118D3">
      <w:pPr>
        <w:suppressAutoHyphens w:val="0"/>
        <w:autoSpaceDN/>
        <w:spacing w:after="160"/>
        <w:ind w:left="5040"/>
        <w:jc w:val="center"/>
        <w:textAlignment w:val="auto"/>
        <w:rPr>
          <w:rFonts w:ascii="Arial" w:eastAsia="Times New Roman" w:hAnsi="Arial" w:cs="Arial"/>
        </w:rPr>
      </w:pPr>
    </w:p>
    <w:p w14:paraId="62F963BF" w14:textId="77777777" w:rsidR="00B118D3" w:rsidRDefault="00B118D3" w:rsidP="00B118D3">
      <w:pPr>
        <w:spacing w:after="0"/>
        <w:rPr>
          <w:rFonts w:ascii="Arial" w:eastAsia="Times New Roman" w:hAnsi="Arial" w:cs="Arial"/>
          <w:lang w:eastAsia="hr-HR"/>
        </w:rPr>
      </w:pPr>
    </w:p>
    <w:p w14:paraId="44431A35" w14:textId="77777777" w:rsidR="00011272" w:rsidRDefault="00011272"/>
    <w:sectPr w:rsidR="00011272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D3"/>
    <w:rsid w:val="00011272"/>
    <w:rsid w:val="0074089B"/>
    <w:rsid w:val="00B118D3"/>
    <w:rsid w:val="00F1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1D46"/>
  <w15:chartTrackingRefBased/>
  <w15:docId w15:val="{E6A2B054-93B0-47B2-8288-EC4EBFE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118D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1226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1510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Racki</dc:creator>
  <cp:keywords/>
  <dc:description/>
  <cp:lastModifiedBy>Vedrana Racki</cp:lastModifiedBy>
  <cp:revision>4</cp:revision>
  <dcterms:created xsi:type="dcterms:W3CDTF">2023-12-27T09:06:00Z</dcterms:created>
  <dcterms:modified xsi:type="dcterms:W3CDTF">2023-12-27T14:46:00Z</dcterms:modified>
</cp:coreProperties>
</file>