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D340" w14:textId="1F46B0B2" w:rsidR="009A4B55" w:rsidRDefault="00000000">
      <w:pPr>
        <w:spacing w:after="128" w:line="268" w:lineRule="auto"/>
        <w:ind w:left="388" w:hanging="9"/>
        <w:jc w:val="both"/>
      </w:pPr>
      <w:r>
        <w:rPr>
          <w:rFonts w:ascii="Arial" w:eastAsia="Arial" w:hAnsi="Arial" w:cs="Arial"/>
          <w:b/>
        </w:rPr>
        <w:t xml:space="preserve">OBRAZLOŽENJE UZ PRIJEDLOG </w:t>
      </w:r>
      <w:r w:rsidR="00167329">
        <w:rPr>
          <w:rFonts w:ascii="Arial" w:eastAsia="Arial" w:hAnsi="Arial" w:cs="Arial"/>
          <w:b/>
        </w:rPr>
        <w:t>DRUG</w:t>
      </w:r>
      <w:r>
        <w:rPr>
          <w:rFonts w:ascii="Arial" w:eastAsia="Arial" w:hAnsi="Arial" w:cs="Arial"/>
          <w:b/>
        </w:rPr>
        <w:t xml:space="preserve">IH IZMJENA I DOPUNA PRORAČUNA OPĆINE JELENJE ZA 2023. </w:t>
      </w:r>
      <w:r w:rsidR="00F72397">
        <w:rPr>
          <w:rFonts w:ascii="Arial" w:eastAsia="Arial" w:hAnsi="Arial" w:cs="Arial"/>
          <w:b/>
        </w:rPr>
        <w:t>I PROJEKCIJA PRORAČUNA ZA 2024. I  2025.</w:t>
      </w:r>
      <w:r>
        <w:rPr>
          <w:rFonts w:ascii="Arial" w:eastAsia="Arial" w:hAnsi="Arial" w:cs="Arial"/>
          <w:b/>
        </w:rPr>
        <w:t xml:space="preserve"> </w:t>
      </w:r>
    </w:p>
    <w:p w14:paraId="7E030FA0" w14:textId="6F7E0EE5" w:rsidR="009A4B55" w:rsidRDefault="00000000">
      <w:pPr>
        <w:spacing w:after="136"/>
        <w:ind w:left="39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 </w:t>
      </w:r>
    </w:p>
    <w:p w14:paraId="567B67A2" w14:textId="77777777" w:rsidR="009A4B55" w:rsidRDefault="00000000">
      <w:pPr>
        <w:numPr>
          <w:ilvl w:val="0"/>
          <w:numId w:val="1"/>
        </w:numPr>
        <w:spacing w:after="128" w:line="268" w:lineRule="auto"/>
        <w:ind w:hanging="245"/>
        <w:jc w:val="both"/>
      </w:pPr>
      <w:r>
        <w:rPr>
          <w:rFonts w:ascii="Arial" w:eastAsia="Arial" w:hAnsi="Arial" w:cs="Arial"/>
          <w:b/>
        </w:rPr>
        <w:t>OSNOVA ZA DONOŠENJE</w:t>
      </w:r>
      <w:r>
        <w:rPr>
          <w:rFonts w:ascii="Arial" w:eastAsia="Arial" w:hAnsi="Arial" w:cs="Arial"/>
          <w:color w:val="FF6600"/>
        </w:rPr>
        <w:t xml:space="preserve"> </w:t>
      </w:r>
    </w:p>
    <w:p w14:paraId="553BD802" w14:textId="520E4753" w:rsidR="009A4B55" w:rsidRDefault="00000000" w:rsidP="00CF3F41">
      <w:pPr>
        <w:spacing w:after="136"/>
        <w:ind w:left="394"/>
      </w:pPr>
      <w:r>
        <w:rPr>
          <w:rFonts w:ascii="Arial" w:eastAsia="Arial" w:hAnsi="Arial" w:cs="Arial"/>
          <w:color w:val="FF6600"/>
        </w:rPr>
        <w:t xml:space="preserve"> </w:t>
      </w:r>
      <w:r>
        <w:rPr>
          <w:rFonts w:ascii="Arial" w:eastAsia="Arial" w:hAnsi="Arial" w:cs="Arial"/>
        </w:rPr>
        <w:t xml:space="preserve">Zakonska osnova za donošenje Izmjena i dopuna Proračuna Općine Jelenje za 2023. sadržana je u članku 45. Zakona o proračunu („Narodne novine“ broj 144/21).  </w:t>
      </w:r>
    </w:p>
    <w:p w14:paraId="73DA98B8" w14:textId="77777777" w:rsidR="009A4B55" w:rsidRDefault="00000000">
      <w:pPr>
        <w:spacing w:after="143"/>
        <w:ind w:left="394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421BC70" w14:textId="3230AE54" w:rsidR="009A4B55" w:rsidRDefault="00000000">
      <w:pPr>
        <w:numPr>
          <w:ilvl w:val="0"/>
          <w:numId w:val="1"/>
        </w:numPr>
        <w:spacing w:after="251" w:line="268" w:lineRule="auto"/>
        <w:ind w:hanging="245"/>
        <w:jc w:val="both"/>
      </w:pPr>
      <w:r>
        <w:rPr>
          <w:rFonts w:ascii="Arial" w:eastAsia="Arial" w:hAnsi="Arial" w:cs="Arial"/>
          <w:b/>
        </w:rPr>
        <w:t xml:space="preserve">OBRAZLOŽENJE </w:t>
      </w:r>
      <w:r w:rsidR="00167329">
        <w:rPr>
          <w:rFonts w:ascii="Arial" w:eastAsia="Arial" w:hAnsi="Arial" w:cs="Arial"/>
          <w:b/>
        </w:rPr>
        <w:t>DRUG</w:t>
      </w:r>
      <w:r>
        <w:rPr>
          <w:rFonts w:ascii="Arial" w:eastAsia="Arial" w:hAnsi="Arial" w:cs="Arial"/>
          <w:b/>
        </w:rPr>
        <w:t xml:space="preserve">IH IZMJENA I DOPUNA PRORAČUNA OPĆINE JELENJE ZA 2023.  </w:t>
      </w:r>
    </w:p>
    <w:p w14:paraId="61962C9D" w14:textId="28A7BC99" w:rsidR="009A4B55" w:rsidRDefault="00000000" w:rsidP="00CF3F41">
      <w:pPr>
        <w:spacing w:after="8" w:line="268" w:lineRule="auto"/>
        <w:ind w:left="389" w:hanging="9"/>
        <w:jc w:val="both"/>
      </w:pPr>
      <w:r>
        <w:rPr>
          <w:rFonts w:ascii="Arial" w:eastAsia="Arial" w:hAnsi="Arial" w:cs="Arial"/>
        </w:rPr>
        <w:t>Proračun Općine Jelenje za 2023. godinu i projekcija proračuna za 2024. i 2025.g. (dalje u tekstu:</w:t>
      </w:r>
      <w:r w:rsidR="00CF3F4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Proračun) doneseni su na sjednici Općinskog vijeća održanoj dana 15. prosinca 2022., a objavljeni su u "Službenim novinama" Općine Jelenje broj 51/22 od 16. prosinca 2022.g.  </w:t>
      </w:r>
    </w:p>
    <w:p w14:paraId="593A7B4B" w14:textId="0909A595" w:rsidR="009A4B55" w:rsidRDefault="00000000">
      <w:pPr>
        <w:spacing w:after="246" w:line="268" w:lineRule="auto"/>
        <w:ind w:left="389" w:hanging="9"/>
        <w:jc w:val="both"/>
      </w:pPr>
      <w:r>
        <w:rPr>
          <w:rFonts w:ascii="Arial" w:eastAsia="Arial" w:hAnsi="Arial" w:cs="Arial"/>
        </w:rPr>
        <w:t xml:space="preserve">Planirani iznos prihoda i primitaka za 2023. godinu te rashoda i izdataka utvrđen je u iznosu od 6.118.000,00 eura. Prvim izmjenama i dopunama Proračun </w:t>
      </w:r>
      <w:r w:rsidR="00F72397">
        <w:rPr>
          <w:rFonts w:ascii="Arial" w:eastAsia="Arial" w:hAnsi="Arial" w:cs="Arial"/>
        </w:rPr>
        <w:t xml:space="preserve">za 2023. godinu </w:t>
      </w:r>
      <w:r>
        <w:rPr>
          <w:rFonts w:ascii="Arial" w:eastAsia="Arial" w:hAnsi="Arial" w:cs="Arial"/>
        </w:rPr>
        <w:t>se povećava za 506.880,00 eura te iznosi 6.624.880,00 eura što predstavlja povećanje od 6,81%.</w:t>
      </w:r>
      <w:r>
        <w:rPr>
          <w:rFonts w:ascii="Arial" w:eastAsia="Arial" w:hAnsi="Arial" w:cs="Arial"/>
          <w:b/>
        </w:rPr>
        <w:t xml:space="preserve">  </w:t>
      </w:r>
    </w:p>
    <w:p w14:paraId="491268C2" w14:textId="62BF9329" w:rsidR="00D01422" w:rsidRDefault="00FD7B98">
      <w:pPr>
        <w:spacing w:after="131" w:line="268" w:lineRule="auto"/>
        <w:ind w:left="389" w:hanging="9"/>
        <w:jc w:val="both"/>
      </w:pPr>
      <w:r>
        <w:rPr>
          <w:rFonts w:ascii="Arial" w:eastAsia="Arial" w:hAnsi="Arial" w:cs="Arial"/>
        </w:rPr>
        <w:t>Predloženim d</w:t>
      </w:r>
      <w:r w:rsidR="00D01422">
        <w:rPr>
          <w:rFonts w:ascii="Arial" w:eastAsia="Arial" w:hAnsi="Arial" w:cs="Arial"/>
        </w:rPr>
        <w:t xml:space="preserve">rugim izmjenama i dopunama </w:t>
      </w:r>
      <w:r>
        <w:rPr>
          <w:rFonts w:ascii="Arial" w:eastAsia="Arial" w:hAnsi="Arial" w:cs="Arial"/>
        </w:rPr>
        <w:t xml:space="preserve">Proračun </w:t>
      </w:r>
      <w:r w:rsidR="00F72397">
        <w:rPr>
          <w:rFonts w:ascii="Arial" w:eastAsia="Arial" w:hAnsi="Arial" w:cs="Arial"/>
        </w:rPr>
        <w:t xml:space="preserve">za 2023. godinu </w:t>
      </w:r>
      <w:r>
        <w:rPr>
          <w:rFonts w:ascii="Arial" w:eastAsia="Arial" w:hAnsi="Arial" w:cs="Arial"/>
        </w:rPr>
        <w:t xml:space="preserve">se smanjuje za 718.880,00 eura pa planirani </w:t>
      </w:r>
      <w:r w:rsidR="00D01422">
        <w:rPr>
          <w:rFonts w:ascii="Arial" w:eastAsia="Arial" w:hAnsi="Arial" w:cs="Arial"/>
        </w:rPr>
        <w:t>iznos prihoda i primitka za 2023. iznos</w:t>
      </w:r>
      <w:r w:rsidR="00F72397">
        <w:rPr>
          <w:rFonts w:ascii="Arial" w:eastAsia="Arial" w:hAnsi="Arial" w:cs="Arial"/>
        </w:rPr>
        <w:t>i</w:t>
      </w:r>
      <w:r w:rsidR="00D01422">
        <w:rPr>
          <w:rFonts w:ascii="Arial" w:eastAsia="Arial" w:hAnsi="Arial" w:cs="Arial"/>
        </w:rPr>
        <w:t xml:space="preserve"> 5.4</w:t>
      </w:r>
      <w:r w:rsidR="00F72397">
        <w:rPr>
          <w:rFonts w:ascii="Arial" w:eastAsia="Arial" w:hAnsi="Arial" w:cs="Arial"/>
        </w:rPr>
        <w:t>42</w:t>
      </w:r>
      <w:r w:rsidR="00D01422">
        <w:rPr>
          <w:rFonts w:ascii="Arial" w:eastAsia="Arial" w:hAnsi="Arial" w:cs="Arial"/>
        </w:rPr>
        <w:t>.705,00 eura uvećan za raspoloživa sredstva iz prethodnih godina u iznosu od 463.295,00 eura kojim se pokrivaju planirani rashodi i izdaci za 2023. godinu u iznosu od 5.</w:t>
      </w:r>
      <w:r w:rsidR="00F72397">
        <w:rPr>
          <w:rFonts w:ascii="Arial" w:eastAsia="Arial" w:hAnsi="Arial" w:cs="Arial"/>
        </w:rPr>
        <w:t>906</w:t>
      </w:r>
      <w:r w:rsidR="00D01422">
        <w:rPr>
          <w:rFonts w:ascii="Arial" w:eastAsia="Arial" w:hAnsi="Arial" w:cs="Arial"/>
        </w:rPr>
        <w:t>.000,00 eura.</w:t>
      </w:r>
    </w:p>
    <w:p w14:paraId="0A04C85D" w14:textId="2A542F01" w:rsidR="009A4B55" w:rsidRDefault="00D01422">
      <w:pPr>
        <w:spacing w:after="130" w:line="268" w:lineRule="auto"/>
        <w:ind w:left="389" w:hanging="9"/>
        <w:jc w:val="both"/>
      </w:pPr>
      <w:r>
        <w:rPr>
          <w:rFonts w:ascii="Arial" w:eastAsia="Arial" w:hAnsi="Arial" w:cs="Arial"/>
        </w:rPr>
        <w:t>Druge izmjene i dopune proračuna</w:t>
      </w:r>
      <w:r w:rsidR="00F72397">
        <w:rPr>
          <w:rFonts w:ascii="Arial" w:eastAsia="Arial" w:hAnsi="Arial" w:cs="Arial"/>
        </w:rPr>
        <w:t xml:space="preserve"> za 2023. godinu</w:t>
      </w:r>
      <w:r>
        <w:rPr>
          <w:rFonts w:ascii="Arial" w:eastAsia="Arial" w:hAnsi="Arial" w:cs="Arial"/>
        </w:rPr>
        <w:t xml:space="preserve">, izrađene su u skladu sa Pravilnikom o proračunskim klasifikacijama (Narodne novine, 26/10, 120/13, 01/20 i144/21), kako slijedi: </w:t>
      </w:r>
    </w:p>
    <w:p w14:paraId="74873E4C" w14:textId="77777777" w:rsidR="009A4B55" w:rsidRDefault="00000000">
      <w:pPr>
        <w:numPr>
          <w:ilvl w:val="0"/>
          <w:numId w:val="2"/>
        </w:numPr>
        <w:spacing w:after="131" w:line="268" w:lineRule="auto"/>
        <w:ind w:hanging="360"/>
        <w:jc w:val="both"/>
      </w:pPr>
      <w:r>
        <w:rPr>
          <w:rFonts w:ascii="Arial" w:eastAsia="Arial" w:hAnsi="Arial" w:cs="Arial"/>
        </w:rPr>
        <w:t xml:space="preserve">Proračunska klasifikacija po izvorima financiranja </w:t>
      </w:r>
    </w:p>
    <w:p w14:paraId="036DD164" w14:textId="299DF016" w:rsidR="009A4B55" w:rsidRDefault="00000000">
      <w:pPr>
        <w:numPr>
          <w:ilvl w:val="0"/>
          <w:numId w:val="2"/>
        </w:numPr>
        <w:spacing w:after="131" w:line="268" w:lineRule="auto"/>
        <w:ind w:hanging="360"/>
        <w:jc w:val="both"/>
      </w:pPr>
      <w:r>
        <w:rPr>
          <w:rFonts w:ascii="Arial" w:eastAsia="Arial" w:hAnsi="Arial" w:cs="Arial"/>
        </w:rPr>
        <w:t>Ekonomska klasifikacija na nivo skupine</w:t>
      </w:r>
      <w:r w:rsidR="00F7239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 </w:t>
      </w:r>
    </w:p>
    <w:p w14:paraId="27068C79" w14:textId="77777777" w:rsidR="009A4B55" w:rsidRDefault="00000000">
      <w:pPr>
        <w:numPr>
          <w:ilvl w:val="0"/>
          <w:numId w:val="2"/>
        </w:numPr>
        <w:spacing w:after="130" w:line="268" w:lineRule="auto"/>
        <w:ind w:hanging="360"/>
        <w:jc w:val="both"/>
      </w:pPr>
      <w:r>
        <w:rPr>
          <w:rFonts w:ascii="Arial" w:eastAsia="Arial" w:hAnsi="Arial" w:cs="Arial"/>
        </w:rPr>
        <w:t xml:space="preserve">Organizacijska struktura na dva razdjela: Općinsko vijeće i načelnik te Jedinstveni upravni odjel. Unutar Razdjela Općinsko vijeće i načelnika postoje dvije glave: prva je Općinsko vijeće, a druga Načelnik. Kod drugog razdjela glava je istog naziva. </w:t>
      </w:r>
    </w:p>
    <w:p w14:paraId="4147B8B3" w14:textId="77777777" w:rsidR="009A4B55" w:rsidRDefault="00000000">
      <w:pPr>
        <w:numPr>
          <w:ilvl w:val="0"/>
          <w:numId w:val="2"/>
        </w:numPr>
        <w:spacing w:after="131" w:line="268" w:lineRule="auto"/>
        <w:ind w:hanging="360"/>
        <w:jc w:val="both"/>
      </w:pPr>
      <w:r>
        <w:rPr>
          <w:rFonts w:ascii="Arial" w:eastAsia="Arial" w:hAnsi="Arial" w:cs="Arial"/>
        </w:rPr>
        <w:t xml:space="preserve">Programska klasifikacija </w:t>
      </w:r>
    </w:p>
    <w:p w14:paraId="77859473" w14:textId="77777777" w:rsidR="009A4B55" w:rsidRDefault="00000000">
      <w:pPr>
        <w:numPr>
          <w:ilvl w:val="0"/>
          <w:numId w:val="2"/>
        </w:numPr>
        <w:spacing w:after="131" w:line="268" w:lineRule="auto"/>
        <w:ind w:hanging="360"/>
        <w:jc w:val="both"/>
      </w:pPr>
      <w:r>
        <w:rPr>
          <w:rFonts w:ascii="Arial" w:eastAsia="Arial" w:hAnsi="Arial" w:cs="Arial"/>
        </w:rPr>
        <w:t xml:space="preserve">Funkcijska klasifikacija </w:t>
      </w:r>
    </w:p>
    <w:p w14:paraId="5199CE96" w14:textId="5B79E849" w:rsidR="009A4B55" w:rsidRDefault="00000000" w:rsidP="00CF3F41">
      <w:pPr>
        <w:spacing w:after="136"/>
        <w:ind w:left="284"/>
      </w:pPr>
      <w:r>
        <w:rPr>
          <w:rFonts w:ascii="Arial" w:eastAsia="Arial" w:hAnsi="Arial" w:cs="Arial"/>
        </w:rPr>
        <w:t xml:space="preserve">Izmjenama i dopunama proračuna uravnotežuju se prihodovna i rashodovna strana u skladu sa Zakonom o proračunu.  </w:t>
      </w:r>
    </w:p>
    <w:p w14:paraId="14972DDB" w14:textId="77777777" w:rsidR="009A4B55" w:rsidRDefault="00000000">
      <w:pPr>
        <w:spacing w:after="289" w:line="268" w:lineRule="auto"/>
        <w:ind w:left="388" w:hanging="9"/>
        <w:jc w:val="both"/>
      </w:pPr>
      <w:r>
        <w:rPr>
          <w:rFonts w:ascii="Arial" w:eastAsia="Arial" w:hAnsi="Arial" w:cs="Arial"/>
          <w:b/>
        </w:rPr>
        <w:t xml:space="preserve">PRIHODI I PRIMICI </w:t>
      </w:r>
    </w:p>
    <w:p w14:paraId="06C6EA7A" w14:textId="5F29940E" w:rsidR="009A4B55" w:rsidRDefault="00D01422">
      <w:pPr>
        <w:spacing w:after="287" w:line="268" w:lineRule="auto"/>
        <w:ind w:left="389" w:hanging="9"/>
        <w:jc w:val="both"/>
      </w:pPr>
      <w:r>
        <w:rPr>
          <w:rFonts w:ascii="Arial" w:eastAsia="Arial" w:hAnsi="Arial" w:cs="Arial"/>
        </w:rPr>
        <w:t xml:space="preserve">Drugim izmjenama i dopunama Proračuna Prihodi i primici za 2023. godinu izmijenjeni su te glase kako slijedi:  </w:t>
      </w:r>
    </w:p>
    <w:p w14:paraId="181DFB7A" w14:textId="57254DF8" w:rsidR="009A4B55" w:rsidRPr="00CF3F41" w:rsidRDefault="00000000" w:rsidP="00CF3F41">
      <w:pPr>
        <w:spacing w:after="0" w:line="268" w:lineRule="auto"/>
        <w:ind w:left="426" w:hanging="9"/>
        <w:jc w:val="both"/>
        <w:rPr>
          <w:rFonts w:ascii="Arial" w:eastAsia="Arial" w:hAnsi="Arial" w:cs="Arial"/>
          <w:sz w:val="18"/>
          <w:szCs w:val="18"/>
        </w:rPr>
      </w:pPr>
      <w:r w:rsidRPr="00CF3F41">
        <w:rPr>
          <w:rFonts w:ascii="Arial" w:eastAsia="Arial" w:hAnsi="Arial" w:cs="Arial"/>
          <w:sz w:val="18"/>
          <w:szCs w:val="18"/>
        </w:rPr>
        <w:t xml:space="preserve"> </w:t>
      </w:r>
      <w:r w:rsidRPr="00CF3F41">
        <w:rPr>
          <w:rFonts w:ascii="Arial" w:eastAsia="Arial" w:hAnsi="Arial" w:cs="Arial"/>
          <w:b/>
          <w:sz w:val="18"/>
          <w:szCs w:val="18"/>
        </w:rPr>
        <w:t>Tabela 1: Usporedba prihoda Proračuna Općine Jelenje prema visini i vrsti prihoda</w:t>
      </w:r>
      <w:r w:rsidRPr="00CF3F41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9490" w:type="dxa"/>
        <w:tblInd w:w="538" w:type="dxa"/>
        <w:tblCellMar>
          <w:top w:w="4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3379"/>
        <w:gridCol w:w="928"/>
        <w:gridCol w:w="1130"/>
        <w:gridCol w:w="1209"/>
        <w:gridCol w:w="1751"/>
        <w:gridCol w:w="1093"/>
      </w:tblGrid>
      <w:tr w:rsidR="00D01422" w14:paraId="63B7ADFD" w14:textId="77777777" w:rsidTr="00F54994">
        <w:trPr>
          <w:trHeight w:val="45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14530CA" w14:textId="77777777" w:rsidR="00D01422" w:rsidRDefault="00D01422">
            <w:r>
              <w:rPr>
                <w:rFonts w:ascii="Arial" w:eastAsia="Arial" w:hAnsi="Arial" w:cs="Arial"/>
                <w:b/>
                <w:sz w:val="16"/>
              </w:rPr>
              <w:t xml:space="preserve">PRIHODI I PRIMICI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66D9B6F" w14:textId="77777777" w:rsidR="00D01422" w:rsidRDefault="00D01422">
            <w:pPr>
              <w:spacing w:after="14"/>
            </w:pPr>
            <w:r>
              <w:rPr>
                <w:rFonts w:ascii="Arial" w:eastAsia="Arial" w:hAnsi="Arial" w:cs="Arial"/>
                <w:b/>
                <w:sz w:val="16"/>
              </w:rPr>
              <w:t xml:space="preserve">PLAN 2023 </w:t>
            </w:r>
          </w:p>
          <w:p w14:paraId="15F0DA4D" w14:textId="77777777" w:rsidR="00D01422" w:rsidRDefault="00D01422">
            <w:r>
              <w:rPr>
                <w:rFonts w:ascii="Arial" w:eastAsia="Arial" w:hAnsi="Arial" w:cs="Arial"/>
                <w:b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eur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07728F" w14:textId="524E1756" w:rsidR="00D01422" w:rsidRDefault="00D01422">
            <w:pPr>
              <w:spacing w:after="14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PRVE IZMJENE I DOPUNE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eur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F381CE" w14:textId="796028BA" w:rsidR="00D01422" w:rsidRDefault="00D01422">
            <w:pPr>
              <w:spacing w:after="14"/>
            </w:pPr>
            <w:r>
              <w:rPr>
                <w:rFonts w:ascii="Arial" w:eastAsia="Arial" w:hAnsi="Arial" w:cs="Arial"/>
                <w:b/>
                <w:sz w:val="16"/>
              </w:rPr>
              <w:t xml:space="preserve">SMANJENJE/ </w:t>
            </w:r>
          </w:p>
          <w:p w14:paraId="3FC7A0C4" w14:textId="77777777" w:rsidR="00D01422" w:rsidRDefault="00D01422">
            <w:r>
              <w:rPr>
                <w:rFonts w:ascii="Arial" w:eastAsia="Arial" w:hAnsi="Arial" w:cs="Arial"/>
                <w:b/>
                <w:sz w:val="16"/>
              </w:rPr>
              <w:t>POVEĆANJE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eur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86F4C61" w14:textId="77777777" w:rsidR="00D01422" w:rsidRDefault="00D01422">
            <w:r>
              <w:rPr>
                <w:rFonts w:ascii="Arial" w:eastAsia="Arial" w:hAnsi="Arial" w:cs="Arial"/>
                <w:b/>
                <w:sz w:val="16"/>
              </w:rPr>
              <w:t>NOVI PLAN 2023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eur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0D20287" w14:textId="77777777" w:rsidR="00D01422" w:rsidRDefault="00D01422">
            <w:r>
              <w:rPr>
                <w:rFonts w:ascii="Arial" w:eastAsia="Arial" w:hAnsi="Arial" w:cs="Arial"/>
                <w:b/>
                <w:sz w:val="16"/>
              </w:rPr>
              <w:t xml:space="preserve">INDEX (3/1) </w:t>
            </w:r>
          </w:p>
        </w:tc>
      </w:tr>
      <w:tr w:rsidR="00D01422" w14:paraId="31F8C267" w14:textId="77777777" w:rsidTr="00F54994">
        <w:trPr>
          <w:trHeight w:val="244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9E8D" w14:textId="77777777" w:rsidR="00D01422" w:rsidRDefault="00D01422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4051" w14:textId="77777777" w:rsidR="00D01422" w:rsidRDefault="00D01422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A58A" w14:textId="6A4B0101" w:rsidR="00D01422" w:rsidRDefault="001366A3">
            <w:pPr>
              <w:ind w:left="8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4D00" w14:textId="74177B66" w:rsidR="00D01422" w:rsidRDefault="001366A3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  <w:r w:rsidR="00D01422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D04B" w14:textId="6843CFCA" w:rsidR="00D01422" w:rsidRDefault="001366A3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  <w:r w:rsidR="00D01422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82E" w14:textId="43860B89" w:rsidR="00D01422" w:rsidRDefault="001366A3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  <w:r w:rsidR="00D01422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D01422" w14:paraId="1B2E86CC" w14:textId="77777777" w:rsidTr="00F54994">
        <w:trPr>
          <w:trHeight w:val="24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AAE9" w14:textId="77777777" w:rsidR="00D01422" w:rsidRDefault="00D01422" w:rsidP="00D01422">
            <w:r>
              <w:rPr>
                <w:rFonts w:ascii="Arial" w:eastAsia="Arial" w:hAnsi="Arial" w:cs="Arial"/>
                <w:sz w:val="16"/>
              </w:rPr>
              <w:t xml:space="preserve">Prihodi od poreza (61)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6DAF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1.541.634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9094" w14:textId="1BD422F4" w:rsidR="00D01422" w:rsidRDefault="00D01422" w:rsidP="00D01422">
            <w:pPr>
              <w:ind w:right="45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1.859.234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9F87" w14:textId="4DC23720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  <w:r w:rsidR="000E170B">
              <w:rPr>
                <w:rFonts w:ascii="Arial" w:eastAsia="Arial" w:hAnsi="Arial" w:cs="Arial"/>
                <w:sz w:val="16"/>
              </w:rPr>
              <w:t>48</w:t>
            </w:r>
            <w:r>
              <w:rPr>
                <w:rFonts w:ascii="Arial" w:eastAsia="Arial" w:hAnsi="Arial" w:cs="Arial"/>
                <w:sz w:val="16"/>
              </w:rPr>
              <w:t xml:space="preserve">.391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C66D" w14:textId="2D92E9AD" w:rsidR="00D01422" w:rsidRDefault="004D6FBE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>2.007.625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08E7" w14:textId="2934B357" w:rsidR="00D01422" w:rsidRDefault="001366A3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10</w:t>
            </w:r>
            <w:r w:rsidR="000E170B">
              <w:rPr>
                <w:rFonts w:ascii="Arial" w:eastAsia="Arial" w:hAnsi="Arial" w:cs="Arial"/>
                <w:sz w:val="16"/>
              </w:rPr>
              <w:t>8</w:t>
            </w:r>
          </w:p>
        </w:tc>
      </w:tr>
      <w:tr w:rsidR="00D01422" w14:paraId="562D12AA" w14:textId="77777777" w:rsidTr="00F54994">
        <w:trPr>
          <w:trHeight w:val="24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03C5" w14:textId="77777777" w:rsidR="00D01422" w:rsidRDefault="00D01422" w:rsidP="00D01422">
            <w:r>
              <w:rPr>
                <w:rFonts w:ascii="Arial" w:eastAsia="Arial" w:hAnsi="Arial" w:cs="Arial"/>
                <w:sz w:val="16"/>
              </w:rPr>
              <w:t xml:space="preserve">Pomoći (63)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73C" w14:textId="77777777" w:rsidR="00D01422" w:rsidRDefault="00D01422" w:rsidP="00D01422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2.490.851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3B1A" w14:textId="344DA4A3" w:rsidR="00D01422" w:rsidRDefault="00D01422" w:rsidP="00D01422">
            <w:pPr>
              <w:ind w:right="45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2.377.928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E408" w14:textId="4016A22F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-759.872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D955" w14:textId="7AEFBC3A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1.618.056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3DDD" w14:textId="458FE8EA" w:rsidR="00D01422" w:rsidRDefault="001366A3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68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D01422" w14:paraId="78D29498" w14:textId="77777777" w:rsidTr="00F54994">
        <w:trPr>
          <w:trHeight w:val="24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E1A5" w14:textId="77777777" w:rsidR="00D01422" w:rsidRDefault="00D01422" w:rsidP="00D01422">
            <w:r>
              <w:rPr>
                <w:rFonts w:ascii="Arial" w:eastAsia="Arial" w:hAnsi="Arial" w:cs="Arial"/>
                <w:sz w:val="16"/>
              </w:rPr>
              <w:t xml:space="preserve">Prihodi od imovine (64)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4146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237.372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4035" w14:textId="21B1CB52" w:rsidR="00D01422" w:rsidRDefault="00D01422" w:rsidP="00D01422">
            <w:pPr>
              <w:ind w:right="45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294.690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D519" w14:textId="641DFED0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-20.202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289" w14:textId="627D245E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274.488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3588" w14:textId="6EE7F8B1" w:rsidR="00D01422" w:rsidRDefault="001366A3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93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D01422" w14:paraId="01589A7E" w14:textId="77777777" w:rsidTr="00F54994">
        <w:trPr>
          <w:trHeight w:val="22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487" w14:textId="77777777" w:rsidR="00D01422" w:rsidRDefault="00D01422" w:rsidP="00D01422">
            <w:pPr>
              <w:spacing w:after="12"/>
            </w:pPr>
            <w:r>
              <w:rPr>
                <w:rFonts w:ascii="Arial" w:eastAsia="Arial" w:hAnsi="Arial" w:cs="Arial"/>
                <w:sz w:val="16"/>
              </w:rPr>
              <w:t xml:space="preserve">Od upravnih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prist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 po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pos.prop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14:paraId="06380BE2" w14:textId="77777777" w:rsidR="00D01422" w:rsidRDefault="00D01422" w:rsidP="00D01422">
            <w:r>
              <w:rPr>
                <w:rFonts w:ascii="Arial" w:eastAsia="Arial" w:hAnsi="Arial" w:cs="Arial"/>
                <w:sz w:val="16"/>
              </w:rPr>
              <w:lastRenderedPageBreak/>
              <w:t>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kom.nakn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dopr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.) (65)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929A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500.018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BE74" w14:textId="3CD1D4EB" w:rsidR="00D01422" w:rsidRDefault="00D01422" w:rsidP="00D01422">
            <w:pPr>
              <w:ind w:right="46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472.568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EBF2" w14:textId="1CB79F3B" w:rsidR="00D01422" w:rsidRDefault="00D01422" w:rsidP="00D01422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>28.61</w:t>
            </w:r>
            <w:r w:rsidR="008B0B05">
              <w:rPr>
                <w:rFonts w:ascii="Arial" w:eastAsia="Arial" w:hAnsi="Arial" w:cs="Arial"/>
                <w:sz w:val="16"/>
              </w:rPr>
              <w:t>7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8020" w14:textId="7BF92B90" w:rsidR="00D01422" w:rsidRDefault="00D01422" w:rsidP="00D01422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501.186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23F8" w14:textId="6C816296" w:rsidR="00D01422" w:rsidRDefault="001366A3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106</w:t>
            </w:r>
          </w:p>
        </w:tc>
      </w:tr>
      <w:tr w:rsidR="00D01422" w14:paraId="170A3F95" w14:textId="77777777" w:rsidTr="00F54994">
        <w:trPr>
          <w:trHeight w:val="3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AAE0" w14:textId="444827FE" w:rsidR="00D01422" w:rsidRDefault="00D01422" w:rsidP="00F54994">
            <w:pPr>
              <w:spacing w:line="277" w:lineRule="auto"/>
            </w:pPr>
            <w:r>
              <w:rPr>
                <w:rFonts w:ascii="Arial" w:eastAsia="Arial" w:hAnsi="Arial" w:cs="Arial"/>
                <w:sz w:val="16"/>
              </w:rPr>
              <w:t xml:space="preserve">Prihodi o prodaje proizvoda i robe te </w:t>
            </w:r>
            <w:r w:rsidR="00F54994"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6"/>
              </w:rPr>
              <w:t>ruženih usluga i prihodi od donacija</w:t>
            </w:r>
            <w:r w:rsidR="00F54994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(66)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FDEF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26.000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3677" w14:textId="58E203D3" w:rsidR="00D01422" w:rsidRDefault="00D01422" w:rsidP="00D01422">
            <w:pPr>
              <w:ind w:right="45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26.000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A41" w14:textId="1A034E6C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A70C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26.000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65E1" w14:textId="77777777" w:rsidR="00D01422" w:rsidRDefault="00D01422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100 </w:t>
            </w:r>
          </w:p>
        </w:tc>
      </w:tr>
      <w:tr w:rsidR="00D01422" w14:paraId="10DE12BA" w14:textId="77777777" w:rsidTr="00F54994">
        <w:trPr>
          <w:trHeight w:val="24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FE9B" w14:textId="77777777" w:rsidR="00D01422" w:rsidRDefault="00D01422" w:rsidP="00D01422">
            <w:r>
              <w:rPr>
                <w:rFonts w:ascii="Arial" w:eastAsia="Arial" w:hAnsi="Arial" w:cs="Arial"/>
                <w:sz w:val="16"/>
              </w:rPr>
              <w:t xml:space="preserve">Ostalo (68)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8B73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6.636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090E" w14:textId="71B9A84A" w:rsidR="00D01422" w:rsidRDefault="00D01422" w:rsidP="00D01422">
            <w:pPr>
              <w:ind w:right="45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6.636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A075" w14:textId="2233B86C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>-</w:t>
            </w:r>
            <w:r w:rsidR="001366A3">
              <w:rPr>
                <w:rFonts w:ascii="Arial" w:eastAsia="Arial" w:hAnsi="Arial" w:cs="Arial"/>
                <w:sz w:val="16"/>
              </w:rPr>
              <w:t>2.636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EA4" w14:textId="6D045189" w:rsidR="00D01422" w:rsidRDefault="001366A3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>4.000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3DA8" w14:textId="32BD0B96" w:rsidR="00D01422" w:rsidRDefault="001366A3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60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D01422" w14:paraId="64BDE8F0" w14:textId="77777777" w:rsidTr="00F54994">
        <w:trPr>
          <w:trHeight w:val="24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21FE" w14:textId="77777777" w:rsidR="00D01422" w:rsidRDefault="00D01422" w:rsidP="00D01422">
            <w:r>
              <w:rPr>
                <w:rFonts w:ascii="Arial" w:eastAsia="Arial" w:hAnsi="Arial" w:cs="Arial"/>
                <w:sz w:val="16"/>
              </w:rPr>
              <w:t xml:space="preserve">Od prodaje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nefin.imovine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(7)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DE7F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195.469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9836" w14:textId="7A7A1BA3" w:rsidR="00D01422" w:rsidRDefault="00D01422" w:rsidP="00D01422">
            <w:pPr>
              <w:ind w:right="45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195.469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8415" w14:textId="2F500044" w:rsidR="00D01422" w:rsidRDefault="001366A3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>-113.178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DA38" w14:textId="1D355580" w:rsidR="00D01422" w:rsidRDefault="001366A3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>82.291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5FD9" w14:textId="21C4C752" w:rsidR="00D01422" w:rsidRDefault="001366A3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42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D01422" w14:paraId="3AF2A11A" w14:textId="77777777" w:rsidTr="00F54994">
        <w:trPr>
          <w:trHeight w:val="24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89C" w14:textId="77777777" w:rsidR="00D01422" w:rsidRDefault="00D01422" w:rsidP="00D01422">
            <w:r>
              <w:rPr>
                <w:rFonts w:ascii="Arial" w:eastAsia="Arial" w:hAnsi="Arial" w:cs="Arial"/>
                <w:sz w:val="16"/>
              </w:rPr>
              <w:t xml:space="preserve">Višak prihoda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preth.god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D851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395.766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ED62" w14:textId="398326B0" w:rsidR="00D01422" w:rsidRDefault="00D01422" w:rsidP="00D01422">
            <w:pPr>
              <w:ind w:right="45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463.295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67A0" w14:textId="6E65991B" w:rsidR="00D01422" w:rsidRDefault="001366A3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>0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5AE9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463.295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8B2B" w14:textId="711D9115" w:rsidR="00D01422" w:rsidRDefault="001366A3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0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D01422" w14:paraId="049B3862" w14:textId="77777777" w:rsidTr="00F54994">
        <w:trPr>
          <w:trHeight w:val="27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29EE" w14:textId="77777777" w:rsidR="00D01422" w:rsidRDefault="00D01422" w:rsidP="00D01422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Primici od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financ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imovine  i zaduženja (8)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4DE0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724.254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10F3" w14:textId="77700C1F" w:rsidR="00D01422" w:rsidRDefault="00D01422" w:rsidP="00D01422">
            <w:pPr>
              <w:ind w:right="46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929.060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6FFA" w14:textId="4C879B71" w:rsidR="00D01422" w:rsidRDefault="001366A3" w:rsidP="00D01422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AF59" w14:textId="77777777" w:rsidR="00D01422" w:rsidRDefault="00D01422" w:rsidP="00D01422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929.060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C7F8" w14:textId="0F919384" w:rsidR="00D01422" w:rsidRDefault="001366A3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>100</w:t>
            </w:r>
            <w:r w:rsidR="00D01422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D01422" w14:paraId="0DE4FF19" w14:textId="77777777" w:rsidTr="00F54994">
        <w:trPr>
          <w:trHeight w:val="24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CEBF6C" w14:textId="77777777" w:rsidR="00D01422" w:rsidRDefault="00D01422" w:rsidP="00D01422">
            <w:r>
              <w:rPr>
                <w:rFonts w:ascii="Arial" w:eastAsia="Arial" w:hAnsi="Arial" w:cs="Arial"/>
                <w:b/>
                <w:sz w:val="16"/>
              </w:rPr>
              <w:t xml:space="preserve">UKUPNO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3927871" w14:textId="77777777" w:rsidR="00D01422" w:rsidRDefault="00D01422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6.118.000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D21C12D" w14:textId="208DE777" w:rsidR="00D01422" w:rsidRDefault="00D01422" w:rsidP="00D01422">
            <w:pPr>
              <w:ind w:right="45"/>
              <w:jc w:val="righ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6.624.880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523313D" w14:textId="2F25DE47" w:rsidR="00D01422" w:rsidRDefault="001366A3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-71</w:t>
            </w:r>
            <w:r w:rsidR="000E170B">
              <w:rPr>
                <w:rFonts w:ascii="Arial" w:eastAsia="Arial" w:hAnsi="Arial" w:cs="Arial"/>
                <w:b/>
                <w:sz w:val="16"/>
              </w:rPr>
              <w:t>8</w:t>
            </w:r>
            <w:r>
              <w:rPr>
                <w:rFonts w:ascii="Arial" w:eastAsia="Arial" w:hAnsi="Arial" w:cs="Arial"/>
                <w:b/>
                <w:sz w:val="16"/>
              </w:rPr>
              <w:t>.8</w:t>
            </w:r>
            <w:r w:rsidR="008B0B05">
              <w:rPr>
                <w:rFonts w:ascii="Arial" w:eastAsia="Arial" w:hAnsi="Arial" w:cs="Arial"/>
                <w:b/>
                <w:sz w:val="16"/>
              </w:rPr>
              <w:t>80</w:t>
            </w:r>
            <w:r w:rsidR="00D01422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224AEC0" w14:textId="72FE42F3" w:rsidR="00D01422" w:rsidRDefault="000E170B" w:rsidP="00D01422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5.906.00</w:t>
            </w:r>
            <w:r w:rsidR="00E91B36"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450E16D" w14:textId="2E42FFBD" w:rsidR="00D01422" w:rsidRDefault="001366A3" w:rsidP="00D01422">
            <w:pPr>
              <w:ind w:right="4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  <w:r w:rsidR="00D46255">
              <w:rPr>
                <w:rFonts w:ascii="Arial" w:eastAsia="Arial" w:hAnsi="Arial" w:cs="Arial"/>
                <w:b/>
                <w:sz w:val="16"/>
              </w:rPr>
              <w:t>9</w:t>
            </w:r>
            <w:r w:rsidR="00D01422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14:paraId="443D062A" w14:textId="77777777" w:rsidR="00F72397" w:rsidRDefault="00F72397">
      <w:pPr>
        <w:spacing w:after="243" w:line="268" w:lineRule="auto"/>
        <w:ind w:left="388" w:hanging="9"/>
        <w:jc w:val="both"/>
        <w:rPr>
          <w:rFonts w:ascii="Arial" w:eastAsia="Arial" w:hAnsi="Arial" w:cs="Arial"/>
          <w:b/>
        </w:rPr>
      </w:pPr>
    </w:p>
    <w:p w14:paraId="251B1629" w14:textId="568B976D" w:rsidR="009A4B55" w:rsidRDefault="00000000">
      <w:pPr>
        <w:spacing w:after="243" w:line="268" w:lineRule="auto"/>
        <w:ind w:left="388" w:hanging="9"/>
        <w:jc w:val="both"/>
      </w:pPr>
      <w:r>
        <w:rPr>
          <w:rFonts w:ascii="Arial" w:eastAsia="Arial" w:hAnsi="Arial" w:cs="Arial"/>
          <w:b/>
        </w:rPr>
        <w:t xml:space="preserve">Grafikon 1.  </w:t>
      </w:r>
    </w:p>
    <w:p w14:paraId="1B2DDF97" w14:textId="50CB08EE" w:rsidR="009A4B55" w:rsidRDefault="004D6FBE">
      <w:pPr>
        <w:spacing w:after="249"/>
        <w:ind w:right="974"/>
        <w:jc w:val="right"/>
      </w:pPr>
      <w:r>
        <w:rPr>
          <w:noProof/>
        </w:rPr>
        <w:drawing>
          <wp:inline distT="0" distB="0" distL="0" distR="0" wp14:anchorId="18226410" wp14:editId="741D4103">
            <wp:extent cx="4030980" cy="1912620"/>
            <wp:effectExtent l="0" t="0" r="7620" b="11430"/>
            <wp:docPr id="210127360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</w:p>
    <w:p w14:paraId="49E75C47" w14:textId="77777777" w:rsidR="009A4B55" w:rsidRPr="00D46255" w:rsidRDefault="00000000" w:rsidP="004D6FBE">
      <w:pPr>
        <w:spacing w:after="289" w:line="268" w:lineRule="auto"/>
        <w:ind w:left="2513" w:firstLine="319"/>
        <w:jc w:val="both"/>
        <w:rPr>
          <w:sz w:val="16"/>
          <w:szCs w:val="16"/>
        </w:rPr>
      </w:pPr>
      <w:r w:rsidRPr="00D46255">
        <w:rPr>
          <w:rFonts w:ascii="Arial" w:eastAsia="Arial" w:hAnsi="Arial" w:cs="Arial"/>
          <w:sz w:val="16"/>
          <w:szCs w:val="16"/>
        </w:rPr>
        <w:t xml:space="preserve">Izvor: Proračun Općine Jelenje </w:t>
      </w:r>
    </w:p>
    <w:p w14:paraId="4BCBE104" w14:textId="2C9FE770" w:rsidR="009A4B55" w:rsidRDefault="00A37D42">
      <w:pPr>
        <w:spacing w:after="128" w:line="268" w:lineRule="auto"/>
        <w:ind w:left="388" w:hanging="9"/>
        <w:jc w:val="both"/>
      </w:pPr>
      <w:r>
        <w:rPr>
          <w:rFonts w:ascii="Arial" w:eastAsia="Arial" w:hAnsi="Arial" w:cs="Arial"/>
        </w:rPr>
        <w:t>Drugim izmjenama i dopunama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Proračuna Općine Jelenje</w:t>
      </w:r>
      <w:r>
        <w:rPr>
          <w:rFonts w:ascii="Arial" w:eastAsia="Arial" w:hAnsi="Arial" w:cs="Arial"/>
          <w:b/>
        </w:rPr>
        <w:t xml:space="preserve"> </w:t>
      </w:r>
      <w:r w:rsidRPr="00A37D42">
        <w:rPr>
          <w:rFonts w:ascii="Arial" w:eastAsia="Arial" w:hAnsi="Arial" w:cs="Arial"/>
          <w:bCs/>
        </w:rPr>
        <w:t>smanjujemo</w:t>
      </w:r>
      <w:r>
        <w:rPr>
          <w:rFonts w:ascii="Arial" w:eastAsia="Arial" w:hAnsi="Arial" w:cs="Arial"/>
          <w:b/>
        </w:rPr>
        <w:t xml:space="preserve"> Prihode poslovanja </w:t>
      </w:r>
      <w:r>
        <w:rPr>
          <w:rFonts w:ascii="Arial" w:eastAsia="Arial" w:hAnsi="Arial" w:cs="Arial"/>
        </w:rPr>
        <w:t>za 14% dok</w:t>
      </w:r>
      <w:r>
        <w:rPr>
          <w:rFonts w:ascii="Arial" w:eastAsia="Arial" w:hAnsi="Arial" w:cs="Arial"/>
          <w:b/>
        </w:rPr>
        <w:t xml:space="preserve"> Prihod</w:t>
      </w:r>
      <w:r w:rsidR="00CF3F41"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 od prodaje nefinancijske imovine </w:t>
      </w:r>
      <w:r w:rsidRPr="00A37D42">
        <w:rPr>
          <w:rFonts w:ascii="Arial" w:eastAsia="Arial" w:hAnsi="Arial" w:cs="Arial"/>
          <w:bCs/>
        </w:rPr>
        <w:t>smanjujemo za 58%.</w:t>
      </w:r>
      <w:r>
        <w:rPr>
          <w:rFonts w:ascii="Arial" w:eastAsia="Arial" w:hAnsi="Arial" w:cs="Arial"/>
          <w:b/>
        </w:rPr>
        <w:t xml:space="preserve"> Primici od financijske imovine i zaduženja</w:t>
      </w:r>
      <w:r>
        <w:rPr>
          <w:rFonts w:ascii="Arial" w:eastAsia="Arial" w:hAnsi="Arial" w:cs="Arial"/>
        </w:rPr>
        <w:t xml:space="preserve"> ostaju na razini prvih izmjena i dopuna plana.</w:t>
      </w:r>
      <w:r>
        <w:rPr>
          <w:rFonts w:ascii="Arial" w:eastAsia="Arial" w:hAnsi="Arial" w:cs="Arial"/>
          <w:b/>
        </w:rPr>
        <w:t xml:space="preserve">  </w:t>
      </w:r>
    </w:p>
    <w:p w14:paraId="67842C65" w14:textId="77777777" w:rsidR="009A4B55" w:rsidRDefault="00000000">
      <w:pPr>
        <w:spacing w:after="58" w:line="268" w:lineRule="auto"/>
        <w:ind w:left="389" w:hanging="9"/>
        <w:jc w:val="both"/>
      </w:pPr>
      <w:r>
        <w:rPr>
          <w:rFonts w:ascii="Arial" w:eastAsia="Arial" w:hAnsi="Arial" w:cs="Arial"/>
        </w:rPr>
        <w:t xml:space="preserve">Unutar skupine </w:t>
      </w:r>
      <w:r>
        <w:rPr>
          <w:rFonts w:ascii="Arial" w:eastAsia="Arial" w:hAnsi="Arial" w:cs="Arial"/>
          <w:b/>
        </w:rPr>
        <w:t xml:space="preserve">Prihodi poslovanja </w:t>
      </w:r>
      <w:r>
        <w:rPr>
          <w:rFonts w:ascii="Arial" w:eastAsia="Arial" w:hAnsi="Arial" w:cs="Arial"/>
        </w:rPr>
        <w:t xml:space="preserve">dolazi do povećanja: </w:t>
      </w:r>
    </w:p>
    <w:p w14:paraId="494B14BB" w14:textId="282D3CC3" w:rsidR="00A30D16" w:rsidRDefault="00000000" w:rsidP="00741388">
      <w:pPr>
        <w:pStyle w:val="Odlomakpopisa"/>
        <w:numPr>
          <w:ilvl w:val="0"/>
          <w:numId w:val="6"/>
        </w:numPr>
        <w:spacing w:after="58" w:line="268" w:lineRule="auto"/>
        <w:jc w:val="both"/>
      </w:pPr>
      <w:r w:rsidRPr="00741388">
        <w:rPr>
          <w:rFonts w:ascii="Arial" w:eastAsia="Arial" w:hAnsi="Arial" w:cs="Arial"/>
          <w:b/>
        </w:rPr>
        <w:t xml:space="preserve">Prihoda od poreza </w:t>
      </w:r>
      <w:r w:rsidRPr="00741388">
        <w:rPr>
          <w:rFonts w:ascii="Arial" w:eastAsia="Arial" w:hAnsi="Arial" w:cs="Arial"/>
        </w:rPr>
        <w:t xml:space="preserve">za </w:t>
      </w:r>
      <w:r w:rsidR="00B91E86" w:rsidRPr="00741388">
        <w:rPr>
          <w:rFonts w:ascii="Arial" w:eastAsia="Arial" w:hAnsi="Arial" w:cs="Arial"/>
        </w:rPr>
        <w:t>8</w:t>
      </w:r>
      <w:r w:rsidRPr="00741388">
        <w:rPr>
          <w:rFonts w:ascii="Arial" w:eastAsia="Arial" w:hAnsi="Arial" w:cs="Arial"/>
        </w:rPr>
        <w:t>%</w:t>
      </w:r>
      <w:r w:rsidRPr="00741388">
        <w:rPr>
          <w:rFonts w:ascii="Arial" w:eastAsia="Arial" w:hAnsi="Arial" w:cs="Arial"/>
          <w:b/>
        </w:rPr>
        <w:t xml:space="preserve"> </w:t>
      </w:r>
      <w:r w:rsidRPr="00741388">
        <w:rPr>
          <w:rFonts w:ascii="Arial" w:eastAsia="Arial" w:hAnsi="Arial" w:cs="Arial"/>
        </w:rPr>
        <w:t xml:space="preserve">(temeljem realizacije za </w:t>
      </w:r>
      <w:r w:rsidR="00B91E86" w:rsidRPr="00741388">
        <w:rPr>
          <w:rFonts w:ascii="Arial" w:eastAsia="Arial" w:hAnsi="Arial" w:cs="Arial"/>
        </w:rPr>
        <w:t>prvih devet mjeseci</w:t>
      </w:r>
      <w:r w:rsidRPr="00741388">
        <w:rPr>
          <w:rFonts w:ascii="Arial" w:eastAsia="Arial" w:hAnsi="Arial" w:cs="Arial"/>
        </w:rPr>
        <w:t xml:space="preserve"> o. g.)</w:t>
      </w:r>
      <w:r w:rsidR="00EB2C76" w:rsidRPr="00741388">
        <w:rPr>
          <w:rFonts w:ascii="Arial" w:eastAsia="Arial" w:hAnsi="Arial" w:cs="Arial"/>
        </w:rPr>
        <w:t xml:space="preserve"> od čega  brže rastu Porezi na dohodak od nesamostalnog rada u odnosu na samostalni rad</w:t>
      </w:r>
      <w:r w:rsidR="00A30D16" w:rsidRPr="00741388">
        <w:rPr>
          <w:rFonts w:ascii="Arial" w:eastAsia="Arial" w:hAnsi="Arial" w:cs="Arial"/>
        </w:rPr>
        <w:t>.</w:t>
      </w:r>
      <w:r w:rsidR="00EB2C76" w:rsidRPr="00741388">
        <w:rPr>
          <w:rFonts w:ascii="Arial" w:eastAsia="Arial" w:hAnsi="Arial" w:cs="Arial"/>
        </w:rPr>
        <w:t xml:space="preserve"> </w:t>
      </w:r>
      <w:r w:rsidR="00334692" w:rsidRPr="00741388">
        <w:rPr>
          <w:rFonts w:ascii="Arial" w:eastAsia="Arial" w:hAnsi="Arial" w:cs="Arial"/>
        </w:rPr>
        <w:t xml:space="preserve">Naime izmjenama Zakona o financiranju jedinica lokalne i područne (regionalne) samouprave od 2021. godine država na sebe preuzela fiskalno izravnanje, </w:t>
      </w:r>
      <w:r w:rsidR="00A30D16" w:rsidRPr="00741388">
        <w:rPr>
          <w:rFonts w:ascii="Arial" w:eastAsia="Arial" w:hAnsi="Arial" w:cs="Arial"/>
        </w:rPr>
        <w:t xml:space="preserve">te se vrši raspodjela prihoda od poreza te </w:t>
      </w:r>
      <w:r w:rsidR="00334692" w:rsidRPr="00741388">
        <w:rPr>
          <w:rFonts w:ascii="Arial" w:eastAsia="Arial" w:hAnsi="Arial" w:cs="Arial"/>
        </w:rPr>
        <w:t xml:space="preserve">iz Fonda za fiskalno izravnanje </w:t>
      </w:r>
      <w:r w:rsidR="00A30D16" w:rsidRPr="00741388">
        <w:rPr>
          <w:rFonts w:ascii="Arial" w:eastAsia="Arial" w:hAnsi="Arial" w:cs="Arial"/>
        </w:rPr>
        <w:t>općinama i gradovima pripada</w:t>
      </w:r>
      <w:r w:rsidR="00334692" w:rsidRPr="00741388">
        <w:rPr>
          <w:rFonts w:ascii="Arial" w:eastAsia="Arial" w:hAnsi="Arial" w:cs="Arial"/>
        </w:rPr>
        <w:t xml:space="preserve"> 14% a </w:t>
      </w:r>
      <w:r w:rsidR="00A30D16" w:rsidRPr="00741388">
        <w:rPr>
          <w:rFonts w:ascii="Arial" w:eastAsia="Arial" w:hAnsi="Arial" w:cs="Arial"/>
        </w:rPr>
        <w:t xml:space="preserve">Županiji </w:t>
      </w:r>
      <w:r w:rsidR="00334692" w:rsidRPr="00741388">
        <w:rPr>
          <w:rFonts w:ascii="Arial" w:eastAsia="Arial" w:hAnsi="Arial" w:cs="Arial"/>
        </w:rPr>
        <w:t>3%</w:t>
      </w:r>
      <w:r w:rsidR="00A30D16" w:rsidRPr="00741388">
        <w:rPr>
          <w:rFonts w:ascii="Arial" w:eastAsia="Arial" w:hAnsi="Arial" w:cs="Arial"/>
        </w:rPr>
        <w:t>. Utjecaj i</w:t>
      </w:r>
      <w:r w:rsidRPr="00741388">
        <w:rPr>
          <w:rFonts w:ascii="Arial" w:eastAsia="Arial" w:hAnsi="Arial" w:cs="Arial"/>
        </w:rPr>
        <w:t xml:space="preserve">nflacija i nominalni rast dohotka </w:t>
      </w:r>
      <w:r w:rsidR="00A30D16" w:rsidRPr="00741388">
        <w:rPr>
          <w:rFonts w:ascii="Arial" w:eastAsia="Arial" w:hAnsi="Arial" w:cs="Arial"/>
        </w:rPr>
        <w:t xml:space="preserve">dodatno </w:t>
      </w:r>
      <w:r w:rsidRPr="00741388">
        <w:rPr>
          <w:rFonts w:ascii="Arial" w:eastAsia="Arial" w:hAnsi="Arial" w:cs="Arial"/>
        </w:rPr>
        <w:t xml:space="preserve">utječu na rast ove skupine prihoda. </w:t>
      </w:r>
    </w:p>
    <w:p w14:paraId="34042D2C" w14:textId="4B1E9FEF" w:rsidR="00696DA7" w:rsidRPr="00696DA7" w:rsidRDefault="00A30D16" w:rsidP="00741388">
      <w:pPr>
        <w:pStyle w:val="Odlomakpopisa"/>
        <w:numPr>
          <w:ilvl w:val="0"/>
          <w:numId w:val="6"/>
        </w:numPr>
        <w:spacing w:after="58" w:line="268" w:lineRule="auto"/>
        <w:jc w:val="both"/>
      </w:pPr>
      <w:r w:rsidRPr="00741388">
        <w:rPr>
          <w:rFonts w:ascii="Arial" w:eastAsia="Arial" w:hAnsi="Arial" w:cs="Arial"/>
          <w:b/>
          <w:bCs/>
        </w:rPr>
        <w:t>Prihodi od upravnih i administrativnih pristojbi</w:t>
      </w:r>
      <w:r w:rsidRPr="00741388">
        <w:rPr>
          <w:rFonts w:ascii="Arial" w:eastAsia="Arial" w:hAnsi="Arial" w:cs="Arial"/>
        </w:rPr>
        <w:t xml:space="preserve"> za 6% </w:t>
      </w:r>
      <w:r w:rsidR="00696DA7" w:rsidRPr="00741388">
        <w:rPr>
          <w:rFonts w:ascii="Arial" w:eastAsia="Arial" w:hAnsi="Arial" w:cs="Arial"/>
        </w:rPr>
        <w:t>na ime Doprinosa za šume, Komunalne naknade (poduzete mjere prisilne naplate) te grobne naknade</w:t>
      </w:r>
      <w:r w:rsidR="00D217A5" w:rsidRPr="00741388">
        <w:rPr>
          <w:rFonts w:ascii="Arial" w:eastAsia="Arial" w:hAnsi="Arial" w:cs="Arial"/>
        </w:rPr>
        <w:t xml:space="preserve"> (povećanog broja korisnika)</w:t>
      </w:r>
      <w:r w:rsidR="00696DA7" w:rsidRPr="00741388">
        <w:rPr>
          <w:rFonts w:ascii="Arial" w:eastAsia="Arial" w:hAnsi="Arial" w:cs="Arial"/>
        </w:rPr>
        <w:t xml:space="preserve"> </w:t>
      </w:r>
      <w:r w:rsidRPr="00741388">
        <w:rPr>
          <w:rFonts w:ascii="Arial" w:eastAsia="Arial" w:hAnsi="Arial" w:cs="Arial"/>
        </w:rPr>
        <w:t>unatoč smanjenju prihoda od komunalnih doprinosa</w:t>
      </w:r>
      <w:r w:rsidR="00696DA7" w:rsidRPr="00741388">
        <w:rPr>
          <w:rFonts w:ascii="Arial" w:eastAsia="Arial" w:hAnsi="Arial" w:cs="Arial"/>
        </w:rPr>
        <w:t xml:space="preserve"> i ostalih upravnih pristojbi i naknada. </w:t>
      </w:r>
    </w:p>
    <w:p w14:paraId="0D2D6487" w14:textId="77777777" w:rsidR="00E86BC8" w:rsidRDefault="00E86BC8" w:rsidP="00696DA7">
      <w:pPr>
        <w:spacing w:after="58" w:line="268" w:lineRule="auto"/>
        <w:ind w:left="1122"/>
        <w:jc w:val="both"/>
        <w:rPr>
          <w:rFonts w:ascii="Arial" w:eastAsia="Arial" w:hAnsi="Arial" w:cs="Arial"/>
        </w:rPr>
      </w:pPr>
    </w:p>
    <w:p w14:paraId="30E229BE" w14:textId="1EDB4EAE" w:rsidR="009A4B55" w:rsidRDefault="00741388" w:rsidP="00741388">
      <w:pPr>
        <w:spacing w:after="58" w:line="268" w:lineRule="auto"/>
        <w:jc w:val="both"/>
      </w:pPr>
      <w:r>
        <w:rPr>
          <w:rFonts w:ascii="Arial" w:eastAsia="Arial" w:hAnsi="Arial" w:cs="Arial"/>
        </w:rPr>
        <w:t xml:space="preserve">       </w:t>
      </w:r>
      <w:r w:rsidRPr="00696DA7">
        <w:rPr>
          <w:rFonts w:ascii="Arial" w:eastAsia="Arial" w:hAnsi="Arial" w:cs="Arial"/>
        </w:rPr>
        <w:t xml:space="preserve">Unutar skupine Prihodi poslovanja dolazi do smanjenja na slijedećim stavkama: </w:t>
      </w:r>
    </w:p>
    <w:p w14:paraId="6F68274D" w14:textId="09080702" w:rsidR="009A4B55" w:rsidRDefault="00000000" w:rsidP="00741388">
      <w:pPr>
        <w:numPr>
          <w:ilvl w:val="0"/>
          <w:numId w:val="3"/>
        </w:numPr>
        <w:spacing w:after="57" w:line="268" w:lineRule="auto"/>
        <w:ind w:left="993" w:hanging="360"/>
        <w:jc w:val="both"/>
      </w:pPr>
      <w:r w:rsidRPr="00D217A5">
        <w:rPr>
          <w:rFonts w:ascii="Arial" w:eastAsia="Arial" w:hAnsi="Arial" w:cs="Arial"/>
          <w:b/>
          <w:bCs/>
        </w:rPr>
        <w:t>Pomoći iz inozemstva i od subjekata unutar općeg proračuna</w:t>
      </w:r>
      <w:r w:rsidRPr="00D217A5">
        <w:rPr>
          <w:rFonts w:ascii="Arial" w:eastAsia="Arial" w:hAnsi="Arial" w:cs="Arial"/>
        </w:rPr>
        <w:t xml:space="preserve"> za </w:t>
      </w:r>
      <w:r w:rsidR="00696DA7" w:rsidRPr="00D217A5">
        <w:rPr>
          <w:rFonts w:ascii="Arial" w:eastAsia="Arial" w:hAnsi="Arial" w:cs="Arial"/>
        </w:rPr>
        <w:t>32</w:t>
      </w:r>
      <w:r w:rsidRPr="00D217A5">
        <w:rPr>
          <w:rFonts w:ascii="Arial" w:eastAsia="Arial" w:hAnsi="Arial" w:cs="Arial"/>
        </w:rPr>
        <w:t>%</w:t>
      </w:r>
      <w:r w:rsidR="00D217A5" w:rsidRPr="00D217A5">
        <w:rPr>
          <w:rFonts w:ascii="Arial" w:eastAsia="Arial" w:hAnsi="Arial" w:cs="Arial"/>
        </w:rPr>
        <w:t xml:space="preserve"> na ime projekta  Poduzetnički inkubator </w:t>
      </w:r>
      <w:r w:rsidR="00D217A5">
        <w:rPr>
          <w:rFonts w:ascii="Arial" w:eastAsia="Arial" w:hAnsi="Arial" w:cs="Arial"/>
        </w:rPr>
        <w:t>koji se neće realizira</w:t>
      </w:r>
      <w:r w:rsidR="00CB637F">
        <w:rPr>
          <w:rFonts w:ascii="Arial" w:eastAsia="Arial" w:hAnsi="Arial" w:cs="Arial"/>
        </w:rPr>
        <w:t>ti</w:t>
      </w:r>
      <w:r w:rsidR="00D217A5">
        <w:rPr>
          <w:rFonts w:ascii="Arial" w:eastAsia="Arial" w:hAnsi="Arial" w:cs="Arial"/>
        </w:rPr>
        <w:t xml:space="preserve"> u 2023.g.</w:t>
      </w:r>
      <w:r w:rsidR="00CB637F">
        <w:rPr>
          <w:rFonts w:ascii="Arial" w:eastAsia="Arial" w:hAnsi="Arial" w:cs="Arial"/>
        </w:rPr>
        <w:t xml:space="preserve"> i</w:t>
      </w:r>
      <w:r w:rsidR="00D217A5">
        <w:rPr>
          <w:rFonts w:ascii="Arial" w:eastAsia="Arial" w:hAnsi="Arial" w:cs="Arial"/>
        </w:rPr>
        <w:t xml:space="preserve"> odustajanj</w:t>
      </w:r>
      <w:r w:rsidR="00CB637F">
        <w:rPr>
          <w:rFonts w:ascii="Arial" w:eastAsia="Arial" w:hAnsi="Arial" w:cs="Arial"/>
        </w:rPr>
        <w:t>a</w:t>
      </w:r>
      <w:r w:rsidR="00D217A5">
        <w:rPr>
          <w:rFonts w:ascii="Arial" w:eastAsia="Arial" w:hAnsi="Arial" w:cs="Arial"/>
        </w:rPr>
        <w:t xml:space="preserve"> nositelja projekta Župe Sv. Mihovil u Jelenju </w:t>
      </w:r>
      <w:r w:rsidR="00CB637F">
        <w:rPr>
          <w:rFonts w:ascii="Arial" w:eastAsia="Arial" w:hAnsi="Arial" w:cs="Arial"/>
        </w:rPr>
        <w:t xml:space="preserve">od realizacije </w:t>
      </w:r>
      <w:r w:rsidR="00D217A5">
        <w:rPr>
          <w:rFonts w:ascii="Arial" w:eastAsia="Arial" w:hAnsi="Arial" w:cs="Arial"/>
        </w:rPr>
        <w:t>Projekt</w:t>
      </w:r>
      <w:r w:rsidR="00CB637F">
        <w:rPr>
          <w:rFonts w:ascii="Arial" w:eastAsia="Arial" w:hAnsi="Arial" w:cs="Arial"/>
        </w:rPr>
        <w:t>a</w:t>
      </w:r>
      <w:r w:rsidR="00D217A5">
        <w:rPr>
          <w:rFonts w:ascii="Arial" w:eastAsia="Arial" w:hAnsi="Arial" w:cs="Arial"/>
        </w:rPr>
        <w:t xml:space="preserve"> obnove crkve svetog </w:t>
      </w:r>
      <w:r w:rsidR="00D217A5" w:rsidRPr="00D217A5">
        <w:rPr>
          <w:rFonts w:ascii="Arial" w:eastAsia="Arial" w:hAnsi="Arial" w:cs="Arial"/>
        </w:rPr>
        <w:t xml:space="preserve"> </w:t>
      </w:r>
      <w:r w:rsidR="00D217A5">
        <w:rPr>
          <w:rFonts w:ascii="Arial" w:eastAsia="Arial" w:hAnsi="Arial" w:cs="Arial"/>
        </w:rPr>
        <w:t>Mihovila</w:t>
      </w:r>
      <w:r w:rsidR="00A60404">
        <w:rPr>
          <w:rFonts w:ascii="Arial" w:eastAsia="Arial" w:hAnsi="Arial" w:cs="Arial"/>
        </w:rPr>
        <w:t xml:space="preserve"> dok i</w:t>
      </w:r>
      <w:r w:rsidR="00CB637F">
        <w:rPr>
          <w:rFonts w:ascii="Arial" w:eastAsia="Arial" w:hAnsi="Arial" w:cs="Arial"/>
        </w:rPr>
        <w:t xml:space="preserve">stodobno </w:t>
      </w:r>
      <w:r w:rsidR="00A60404">
        <w:rPr>
          <w:rFonts w:ascii="Arial" w:eastAsia="Arial" w:hAnsi="Arial" w:cs="Arial"/>
        </w:rPr>
        <w:t xml:space="preserve">planiramo </w:t>
      </w:r>
      <w:r w:rsidR="00CB637F">
        <w:rPr>
          <w:rFonts w:ascii="Arial" w:eastAsia="Arial" w:hAnsi="Arial" w:cs="Arial"/>
        </w:rPr>
        <w:t xml:space="preserve">novi projekt dogradnje drvarnice i uređenje planinarskog doma </w:t>
      </w:r>
      <w:proofErr w:type="spellStart"/>
      <w:r w:rsidR="00CB637F">
        <w:rPr>
          <w:rFonts w:ascii="Arial" w:eastAsia="Arial" w:hAnsi="Arial" w:cs="Arial"/>
        </w:rPr>
        <w:t>Hahlić</w:t>
      </w:r>
      <w:proofErr w:type="spellEnd"/>
      <w:r w:rsidR="00C9161E">
        <w:rPr>
          <w:rFonts w:ascii="Arial" w:eastAsia="Arial" w:hAnsi="Arial" w:cs="Arial"/>
        </w:rPr>
        <w:t xml:space="preserve">, te </w:t>
      </w:r>
      <w:r w:rsidR="00A60404">
        <w:rPr>
          <w:rFonts w:ascii="Arial" w:eastAsia="Arial" w:hAnsi="Arial" w:cs="Arial"/>
        </w:rPr>
        <w:t xml:space="preserve">ponovno </w:t>
      </w:r>
      <w:r w:rsidR="00C9161E">
        <w:rPr>
          <w:rFonts w:ascii="Arial" w:eastAsia="Arial" w:hAnsi="Arial" w:cs="Arial"/>
        </w:rPr>
        <w:t>aktivira</w:t>
      </w:r>
      <w:r w:rsidR="00A60404">
        <w:rPr>
          <w:rFonts w:ascii="Arial" w:eastAsia="Arial" w:hAnsi="Arial" w:cs="Arial"/>
        </w:rPr>
        <w:t>nje</w:t>
      </w:r>
      <w:r w:rsidR="00C9161E">
        <w:rPr>
          <w:rFonts w:ascii="Arial" w:eastAsia="Arial" w:hAnsi="Arial" w:cs="Arial"/>
        </w:rPr>
        <w:t xml:space="preserve"> </w:t>
      </w:r>
      <w:r w:rsidR="00A60404">
        <w:rPr>
          <w:rFonts w:ascii="Arial" w:eastAsia="Arial" w:hAnsi="Arial" w:cs="Arial"/>
        </w:rPr>
        <w:t>projekta izgradnja pametne autobusne čekaonice i punionice električnih vozila.</w:t>
      </w:r>
    </w:p>
    <w:p w14:paraId="3DC6C327" w14:textId="77777777" w:rsidR="00E86BC8" w:rsidRDefault="00A30D16" w:rsidP="00E86BC8">
      <w:pPr>
        <w:numPr>
          <w:ilvl w:val="0"/>
          <w:numId w:val="3"/>
        </w:numPr>
        <w:spacing w:after="7" w:line="268" w:lineRule="auto"/>
        <w:ind w:left="1114" w:hanging="360"/>
        <w:jc w:val="both"/>
      </w:pPr>
      <w:r>
        <w:rPr>
          <w:rFonts w:ascii="Arial" w:eastAsia="Arial" w:hAnsi="Arial" w:cs="Arial"/>
          <w:b/>
        </w:rPr>
        <w:t>Prihoda od imovine</w:t>
      </w:r>
      <w:r>
        <w:rPr>
          <w:rFonts w:ascii="Arial" w:eastAsia="Arial" w:hAnsi="Arial" w:cs="Arial"/>
        </w:rPr>
        <w:t xml:space="preserve"> za </w:t>
      </w:r>
      <w:r w:rsidR="00696DA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% na ime </w:t>
      </w:r>
      <w:r w:rsidR="00A60404">
        <w:rPr>
          <w:rFonts w:ascii="Arial" w:eastAsia="Arial" w:hAnsi="Arial" w:cs="Arial"/>
        </w:rPr>
        <w:t>Naknada za korištenje nefinancijske imovine (prostora elektrane</w:t>
      </w:r>
      <w:r w:rsidR="00B1489B">
        <w:rPr>
          <w:rFonts w:ascii="Arial" w:eastAsia="Arial" w:hAnsi="Arial" w:cs="Arial"/>
        </w:rPr>
        <w:t xml:space="preserve"> Valići na bazi dosadašnje realizacije za prvih devet mjeseci</w:t>
      </w:r>
      <w:r w:rsidR="00A60404">
        <w:rPr>
          <w:rFonts w:ascii="Arial" w:eastAsia="Arial" w:hAnsi="Arial" w:cs="Arial"/>
        </w:rPr>
        <w:t xml:space="preserve">), </w:t>
      </w:r>
      <w:r w:rsidR="00B1489B">
        <w:rPr>
          <w:rFonts w:ascii="Arial" w:eastAsia="Arial" w:hAnsi="Arial" w:cs="Arial"/>
        </w:rPr>
        <w:t xml:space="preserve">Naknada za koncesiju, </w:t>
      </w:r>
      <w:r w:rsidR="00A60404">
        <w:rPr>
          <w:rFonts w:ascii="Arial" w:eastAsia="Arial" w:hAnsi="Arial" w:cs="Arial"/>
        </w:rPr>
        <w:t xml:space="preserve">te </w:t>
      </w:r>
      <w:r w:rsidR="00A60404" w:rsidRPr="00A60404">
        <w:rPr>
          <w:rFonts w:ascii="Arial" w:eastAsia="Arial" w:hAnsi="Arial" w:cs="Arial"/>
        </w:rPr>
        <w:t>Ostali</w:t>
      </w:r>
      <w:r w:rsidR="00A60404">
        <w:rPr>
          <w:rFonts w:ascii="Arial" w:eastAsia="Arial" w:hAnsi="Arial" w:cs="Arial"/>
        </w:rPr>
        <w:t>h</w:t>
      </w:r>
      <w:r w:rsidR="00A60404" w:rsidRPr="00A60404">
        <w:rPr>
          <w:rFonts w:ascii="Arial" w:eastAsia="Arial" w:hAnsi="Arial" w:cs="Arial"/>
        </w:rPr>
        <w:t xml:space="preserve"> prihod</w:t>
      </w:r>
      <w:r w:rsidR="00A60404">
        <w:rPr>
          <w:rFonts w:ascii="Arial" w:eastAsia="Arial" w:hAnsi="Arial" w:cs="Arial"/>
        </w:rPr>
        <w:t>a</w:t>
      </w:r>
      <w:r w:rsidR="00A60404" w:rsidRPr="00A60404">
        <w:rPr>
          <w:rFonts w:ascii="Arial" w:eastAsia="Arial" w:hAnsi="Arial" w:cs="Arial"/>
        </w:rPr>
        <w:t xml:space="preserve"> od nefinancijske imovine (naknada za zadržavanje nezakonito izgrađene zgrade u prostoru</w:t>
      </w:r>
      <w:r w:rsidR="00A60404">
        <w:rPr>
          <w:rFonts w:ascii="Arial" w:eastAsia="Arial" w:hAnsi="Arial" w:cs="Arial"/>
        </w:rPr>
        <w:t xml:space="preserve"> – koja se privodi kraju</w:t>
      </w:r>
      <w:r w:rsidR="00B1489B">
        <w:rPr>
          <w:rFonts w:ascii="Arial" w:eastAsia="Arial" w:hAnsi="Arial" w:cs="Arial"/>
        </w:rPr>
        <w:t>).</w:t>
      </w:r>
      <w:r>
        <w:rPr>
          <w:rFonts w:ascii="Arial" w:eastAsia="Arial" w:hAnsi="Arial" w:cs="Arial"/>
        </w:rPr>
        <w:t xml:space="preserve"> </w:t>
      </w:r>
    </w:p>
    <w:p w14:paraId="220359AB" w14:textId="77777777" w:rsidR="00E86BC8" w:rsidRPr="00E86BC8" w:rsidRDefault="00B1489B" w:rsidP="00E86BC8">
      <w:pPr>
        <w:numPr>
          <w:ilvl w:val="0"/>
          <w:numId w:val="3"/>
        </w:numPr>
        <w:spacing w:after="7" w:line="268" w:lineRule="auto"/>
        <w:ind w:left="1114" w:hanging="360"/>
        <w:jc w:val="both"/>
      </w:pPr>
      <w:r w:rsidRPr="00E86BC8">
        <w:rPr>
          <w:rFonts w:ascii="Arial" w:eastAsia="Arial" w:hAnsi="Arial" w:cs="Arial"/>
          <w:b/>
        </w:rPr>
        <w:lastRenderedPageBreak/>
        <w:t xml:space="preserve">Ostali prihodi </w:t>
      </w:r>
      <w:r w:rsidRPr="00E86BC8">
        <w:rPr>
          <w:rFonts w:ascii="Arial" w:eastAsia="Arial" w:hAnsi="Arial" w:cs="Arial"/>
          <w:bCs/>
        </w:rPr>
        <w:t xml:space="preserve">40% na bazi realizacije prvih devet mjeseci </w:t>
      </w:r>
      <w:proofErr w:type="spellStart"/>
      <w:r w:rsidRPr="00E86BC8">
        <w:rPr>
          <w:rFonts w:ascii="Arial" w:eastAsia="Arial" w:hAnsi="Arial" w:cs="Arial"/>
          <w:bCs/>
        </w:rPr>
        <w:t>o.g</w:t>
      </w:r>
      <w:proofErr w:type="spellEnd"/>
      <w:r w:rsidRPr="00E86BC8">
        <w:rPr>
          <w:rFonts w:ascii="Arial" w:eastAsia="Arial" w:hAnsi="Arial" w:cs="Arial"/>
          <w:bCs/>
        </w:rPr>
        <w:t>.</w:t>
      </w:r>
      <w:r w:rsidR="00E86BC8" w:rsidRPr="00E86BC8">
        <w:rPr>
          <w:rFonts w:ascii="Arial" w:eastAsia="Arial" w:hAnsi="Arial" w:cs="Arial"/>
          <w:bCs/>
        </w:rPr>
        <w:t xml:space="preserve"> nominalno 2.636,00 eura.</w:t>
      </w:r>
      <w:r w:rsidR="00E86BC8" w:rsidRPr="00E86BC8">
        <w:rPr>
          <w:rFonts w:ascii="Arial" w:eastAsia="Arial" w:hAnsi="Arial" w:cs="Arial"/>
          <w:sz w:val="16"/>
        </w:rPr>
        <w:t xml:space="preserve"> </w:t>
      </w:r>
    </w:p>
    <w:p w14:paraId="3FB464DB" w14:textId="77777777" w:rsidR="00E86BC8" w:rsidRDefault="00E86BC8" w:rsidP="00E86BC8">
      <w:pPr>
        <w:spacing w:after="7" w:line="268" w:lineRule="auto"/>
        <w:ind w:left="1114"/>
        <w:jc w:val="both"/>
      </w:pPr>
    </w:p>
    <w:p w14:paraId="41022896" w14:textId="36136B2C" w:rsidR="00E86BC8" w:rsidRPr="00E86BC8" w:rsidRDefault="00E86BC8" w:rsidP="00E86BC8">
      <w:pPr>
        <w:spacing w:after="7" w:line="268" w:lineRule="auto"/>
        <w:ind w:left="1114"/>
        <w:jc w:val="both"/>
      </w:pPr>
      <w:r w:rsidRPr="00E86BC8">
        <w:rPr>
          <w:rFonts w:ascii="Arial" w:eastAsia="Arial" w:hAnsi="Arial" w:cs="Arial"/>
        </w:rPr>
        <w:t>Prihodi o prodaje proizvoda i robe te pruženih usluga i</w:t>
      </w:r>
      <w:r w:rsidRPr="00E86BC8">
        <w:rPr>
          <w:rFonts w:ascii="Arial" w:eastAsia="Arial" w:hAnsi="Arial" w:cs="Arial"/>
          <w:b/>
          <w:bCs/>
        </w:rPr>
        <w:t xml:space="preserve"> prihodi od donacija </w:t>
      </w:r>
      <w:r w:rsidRPr="00E86BC8">
        <w:rPr>
          <w:rFonts w:ascii="Arial" w:eastAsia="Arial" w:hAnsi="Arial" w:cs="Arial"/>
        </w:rPr>
        <w:t xml:space="preserve">ostaju na razini planiranih. </w:t>
      </w:r>
    </w:p>
    <w:p w14:paraId="4A1C1D33" w14:textId="77777777" w:rsidR="005C429F" w:rsidRDefault="00E86BC8" w:rsidP="005C429F">
      <w:pPr>
        <w:spacing w:after="289" w:line="268" w:lineRule="auto"/>
        <w:ind w:left="708"/>
        <w:jc w:val="both"/>
        <w:rPr>
          <w:rFonts w:ascii="Arial" w:eastAsia="Arial" w:hAnsi="Arial" w:cs="Arial"/>
        </w:rPr>
      </w:pPr>
      <w:r w:rsidRPr="00E86BC8">
        <w:rPr>
          <w:rFonts w:ascii="Arial" w:eastAsia="Arial" w:hAnsi="Arial" w:cs="Arial"/>
          <w:b/>
          <w:bCs/>
        </w:rPr>
        <w:t>Prihodi od prodaje nefinancijske imovine</w:t>
      </w:r>
      <w:r>
        <w:rPr>
          <w:rFonts w:ascii="Arial" w:eastAsia="Arial" w:hAnsi="Arial" w:cs="Arial"/>
          <w:b/>
          <w:bCs/>
        </w:rPr>
        <w:t xml:space="preserve"> </w:t>
      </w:r>
      <w:r w:rsidRPr="00E86BC8">
        <w:rPr>
          <w:rFonts w:ascii="Arial" w:eastAsia="Arial" w:hAnsi="Arial" w:cs="Arial"/>
        </w:rPr>
        <w:t xml:space="preserve">smanjuju se </w:t>
      </w:r>
      <w:r>
        <w:rPr>
          <w:rFonts w:ascii="Arial" w:eastAsia="Arial" w:hAnsi="Arial" w:cs="Arial"/>
        </w:rPr>
        <w:t xml:space="preserve">58% zbog </w:t>
      </w:r>
      <w:r w:rsidR="005C429F">
        <w:rPr>
          <w:rFonts w:ascii="Arial" w:eastAsia="Arial" w:hAnsi="Arial" w:cs="Arial"/>
        </w:rPr>
        <w:t xml:space="preserve">nemogućnosti provođenja postupka </w:t>
      </w:r>
      <w:r>
        <w:rPr>
          <w:rFonts w:ascii="Arial" w:eastAsia="Arial" w:hAnsi="Arial" w:cs="Arial"/>
        </w:rPr>
        <w:t xml:space="preserve">prodaje nekretnine na adresi Jelenje 119 zbog rješavanja imovinsko pravnih odnosa, </w:t>
      </w:r>
      <w:r w:rsidR="005C429F">
        <w:rPr>
          <w:rFonts w:ascii="Arial" w:eastAsia="Arial" w:hAnsi="Arial" w:cs="Arial"/>
        </w:rPr>
        <w:t xml:space="preserve">te nemogućnosti prodaje dijela katastarske čestice 4290 K.O. Dražice – zemljišta zbog pokrenutog sudskog spora. </w:t>
      </w:r>
    </w:p>
    <w:p w14:paraId="7991F8A9" w14:textId="2BA9AA94" w:rsidR="00E86BC8" w:rsidRPr="00E86BC8" w:rsidRDefault="005C429F" w:rsidP="005C429F">
      <w:pPr>
        <w:spacing w:after="289" w:line="268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Nadalje Općina Jelenje planira prodaju dotrajalog prijevoznog sredstva – lakog gospodarskog vozila marke Dacia </w:t>
      </w:r>
      <w:proofErr w:type="spellStart"/>
      <w:r>
        <w:rPr>
          <w:rFonts w:ascii="Arial" w:eastAsia="Arial" w:hAnsi="Arial" w:cs="Arial"/>
        </w:rPr>
        <w:t>Dokker</w:t>
      </w:r>
      <w:proofErr w:type="spellEnd"/>
      <w:r>
        <w:rPr>
          <w:rFonts w:ascii="Arial" w:eastAsia="Arial" w:hAnsi="Arial" w:cs="Arial"/>
        </w:rPr>
        <w:t xml:space="preserve"> putem javne prodaje. </w:t>
      </w:r>
    </w:p>
    <w:p w14:paraId="611462DA" w14:textId="354BBC9C" w:rsidR="009A4B55" w:rsidRDefault="00000000">
      <w:pPr>
        <w:spacing w:after="289" w:line="268" w:lineRule="auto"/>
        <w:ind w:left="388" w:hanging="9"/>
        <w:jc w:val="both"/>
      </w:pPr>
      <w:r>
        <w:rPr>
          <w:rFonts w:ascii="Arial" w:eastAsia="Arial" w:hAnsi="Arial" w:cs="Arial"/>
          <w:b/>
        </w:rPr>
        <w:t xml:space="preserve">RASHODI I IZDACI – OPĆI DIO </w:t>
      </w:r>
    </w:p>
    <w:p w14:paraId="66212AB9" w14:textId="77777777" w:rsidR="009A4B55" w:rsidRDefault="00000000">
      <w:pPr>
        <w:spacing w:after="0" w:line="268" w:lineRule="auto"/>
        <w:ind w:left="388" w:hanging="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Tablica 2. Usporedba rashoda Proračuna Općine Jelenje prema vrsti rashoda </w:t>
      </w:r>
    </w:p>
    <w:p w14:paraId="240AB18A" w14:textId="77777777" w:rsidR="00D46255" w:rsidRDefault="00D46255">
      <w:pPr>
        <w:spacing w:after="0" w:line="268" w:lineRule="auto"/>
        <w:ind w:left="388" w:hanging="9"/>
        <w:jc w:val="both"/>
      </w:pPr>
    </w:p>
    <w:tbl>
      <w:tblPr>
        <w:tblStyle w:val="TableGrid"/>
        <w:tblW w:w="10060" w:type="dxa"/>
        <w:tblInd w:w="0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499"/>
        <w:gridCol w:w="1253"/>
        <w:gridCol w:w="1763"/>
        <w:gridCol w:w="730"/>
      </w:tblGrid>
      <w:tr w:rsidR="00741388" w:rsidRPr="00D46255" w14:paraId="0E5E296C" w14:textId="77777777" w:rsidTr="00741388">
        <w:trPr>
          <w:trHeight w:val="45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170D9C5" w14:textId="77777777" w:rsidR="001366A3" w:rsidRPr="00D46255" w:rsidRDefault="001366A3">
            <w:pPr>
              <w:ind w:righ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RASHODI I IZDACI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15F16E3" w14:textId="77777777" w:rsidR="001366A3" w:rsidRPr="00D46255" w:rsidRDefault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PLAN 2023 (</w:t>
            </w:r>
            <w:proofErr w:type="spellStart"/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eur</w:t>
            </w:r>
            <w:proofErr w:type="spellEnd"/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4077A50" w14:textId="711184C0" w:rsidR="001366A3" w:rsidRPr="00D46255" w:rsidRDefault="001366A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PRVE IZMJENE I DOPUNE (</w:t>
            </w:r>
            <w:proofErr w:type="spellStart"/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eur</w:t>
            </w:r>
            <w:proofErr w:type="spellEnd"/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FDBE69" w14:textId="4DFC52F6" w:rsidR="001366A3" w:rsidRPr="00D46255" w:rsidRDefault="00136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SMANJENJE/ POVEĆANJE (</w:t>
            </w:r>
            <w:proofErr w:type="spellStart"/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eur</w:t>
            </w:r>
            <w:proofErr w:type="spellEnd"/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C7E819D" w14:textId="77777777" w:rsidR="001366A3" w:rsidRPr="00D46255" w:rsidRDefault="001366A3">
            <w:pPr>
              <w:spacing w:after="14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NOVI PLAN 2023 </w:t>
            </w:r>
          </w:p>
          <w:p w14:paraId="3C3F1D35" w14:textId="77777777" w:rsidR="001366A3" w:rsidRPr="00D46255" w:rsidRDefault="001366A3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eur</w:t>
            </w:r>
            <w:proofErr w:type="spellEnd"/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50446E" w14:textId="77777777" w:rsidR="001366A3" w:rsidRPr="00D46255" w:rsidRDefault="001366A3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INDEX (3/1) </w:t>
            </w:r>
          </w:p>
        </w:tc>
      </w:tr>
      <w:tr w:rsidR="001366A3" w:rsidRPr="00D46255" w14:paraId="52AE4E72" w14:textId="77777777" w:rsidTr="00741388">
        <w:trPr>
          <w:trHeight w:val="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D892" w14:textId="77777777" w:rsidR="001366A3" w:rsidRPr="00D46255" w:rsidRDefault="001366A3">
            <w:pPr>
              <w:ind w:left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25B1" w14:textId="77777777" w:rsidR="001366A3" w:rsidRPr="00D46255" w:rsidRDefault="001366A3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128C" w14:textId="77B42E1C" w:rsidR="001366A3" w:rsidRPr="00D46255" w:rsidRDefault="001366A3">
            <w:pPr>
              <w:ind w:right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CA2C" w14:textId="2527BBF3" w:rsidR="001366A3" w:rsidRPr="00D46255" w:rsidRDefault="001366A3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CFC6" w14:textId="623EF60C" w:rsidR="001366A3" w:rsidRPr="00D46255" w:rsidRDefault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DE4F" w14:textId="48792346" w:rsidR="001366A3" w:rsidRPr="00D46255" w:rsidRDefault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5 </w:t>
            </w:r>
          </w:p>
        </w:tc>
      </w:tr>
      <w:tr w:rsidR="001366A3" w:rsidRPr="00D46255" w14:paraId="661A8B30" w14:textId="77777777" w:rsidTr="00741388">
        <w:trPr>
          <w:trHeight w:val="11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4BC7" w14:textId="77777777" w:rsidR="001366A3" w:rsidRPr="00D46255" w:rsidRDefault="001366A3" w:rsidP="00741388">
            <w:pPr>
              <w:ind w:right="2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Rashodi za zaposlene (31)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B509" w14:textId="77777777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291.446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B806" w14:textId="48744A91" w:rsidR="001366A3" w:rsidRPr="00D46255" w:rsidRDefault="001366A3" w:rsidP="00E91B36">
            <w:pPr>
              <w:ind w:right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291.446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E666" w14:textId="728656FA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9F82" w14:textId="24E0C246" w:rsidR="001366A3" w:rsidRPr="00D46255" w:rsidRDefault="00E91B36" w:rsidP="00E9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1B36">
              <w:rPr>
                <w:rFonts w:ascii="Arial" w:hAnsi="Arial" w:cs="Arial"/>
                <w:sz w:val="16"/>
                <w:szCs w:val="16"/>
              </w:rPr>
              <w:t>291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91B36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30DE" w14:textId="77777777" w:rsidR="001366A3" w:rsidRPr="00D46255" w:rsidRDefault="001366A3" w:rsidP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100 </w:t>
            </w:r>
          </w:p>
        </w:tc>
      </w:tr>
      <w:tr w:rsidR="001366A3" w:rsidRPr="00D46255" w14:paraId="33907BA8" w14:textId="77777777" w:rsidTr="00741388">
        <w:trPr>
          <w:trHeight w:val="2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A8C6" w14:textId="77777777" w:rsidR="001366A3" w:rsidRPr="00D46255" w:rsidRDefault="001366A3" w:rsidP="00741388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Materijalni rashodi (32)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82D4" w14:textId="77777777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943.822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8815" w14:textId="305D6A61" w:rsidR="001366A3" w:rsidRPr="00D46255" w:rsidRDefault="001366A3" w:rsidP="00E91B36">
            <w:pPr>
              <w:ind w:left="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926.209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E31F" w14:textId="4FD18C2A" w:rsidR="001366A3" w:rsidRPr="00D46255" w:rsidRDefault="00D46255" w:rsidP="00E91B36">
            <w:pPr>
              <w:ind w:left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+79.770</w:t>
            </w:r>
            <w:r w:rsidR="001366A3" w:rsidRPr="00D462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E983" w14:textId="756DC8E5" w:rsidR="001366A3" w:rsidRPr="00D46255" w:rsidRDefault="00E91B36" w:rsidP="00E9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1B3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91B36">
              <w:rPr>
                <w:rFonts w:ascii="Arial" w:hAnsi="Arial" w:cs="Arial"/>
                <w:sz w:val="16"/>
                <w:szCs w:val="16"/>
              </w:rPr>
              <w:t>005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91B36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2AD9" w14:textId="6B823158" w:rsidR="001366A3" w:rsidRPr="00D46255" w:rsidRDefault="00D46255" w:rsidP="001366A3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109</w:t>
            </w:r>
          </w:p>
        </w:tc>
      </w:tr>
      <w:tr w:rsidR="001366A3" w:rsidRPr="00D46255" w14:paraId="3ED28C9D" w14:textId="77777777" w:rsidTr="00741388">
        <w:trPr>
          <w:trHeight w:val="24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B80B" w14:textId="77777777" w:rsidR="001366A3" w:rsidRPr="00D46255" w:rsidRDefault="001366A3" w:rsidP="00741388">
            <w:pPr>
              <w:ind w:right="2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Financijski rashodi (34)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59F0" w14:textId="77777777" w:rsidR="001366A3" w:rsidRPr="00D46255" w:rsidRDefault="001366A3" w:rsidP="00E9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31.880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798F" w14:textId="0AC6CC94" w:rsidR="001366A3" w:rsidRPr="00D46255" w:rsidRDefault="001366A3" w:rsidP="00E91B36">
            <w:pPr>
              <w:ind w:right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31.880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FACA" w14:textId="6B9166B7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16D6" w14:textId="15F47CC3" w:rsidR="001366A3" w:rsidRPr="00D46255" w:rsidRDefault="00E91B36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1B36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91B36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E887" w14:textId="77777777" w:rsidR="001366A3" w:rsidRPr="00D46255" w:rsidRDefault="001366A3" w:rsidP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100 </w:t>
            </w:r>
          </w:p>
        </w:tc>
      </w:tr>
      <w:tr w:rsidR="001366A3" w:rsidRPr="00D46255" w14:paraId="55E1DCB4" w14:textId="77777777" w:rsidTr="00741388">
        <w:trPr>
          <w:trHeight w:val="2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2965" w14:textId="77777777" w:rsidR="001366A3" w:rsidRPr="00D46255" w:rsidRDefault="001366A3" w:rsidP="00741388">
            <w:pPr>
              <w:ind w:right="2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Subvencije (35)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D0AD" w14:textId="77777777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133.121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DEEA" w14:textId="07A30C3B" w:rsidR="001366A3" w:rsidRPr="00D46255" w:rsidRDefault="001366A3" w:rsidP="00E91B36">
            <w:pPr>
              <w:ind w:right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198.007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2D2D" w14:textId="32DFF072" w:rsidR="001366A3" w:rsidRPr="00D46255" w:rsidRDefault="00D46255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1366A3" w:rsidRPr="00D462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F741" w14:textId="65A431F8" w:rsidR="001366A3" w:rsidRPr="00D46255" w:rsidRDefault="00E91B36" w:rsidP="00E9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198.007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65A3" w14:textId="0A0CAA65" w:rsidR="001366A3" w:rsidRPr="00D46255" w:rsidRDefault="00D46255" w:rsidP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</w:tr>
      <w:tr w:rsidR="001366A3" w:rsidRPr="00D46255" w14:paraId="332568FA" w14:textId="77777777" w:rsidTr="00741388">
        <w:trPr>
          <w:trHeight w:val="24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D1F6" w14:textId="77777777" w:rsidR="001366A3" w:rsidRPr="00D46255" w:rsidRDefault="001366A3" w:rsidP="00741388">
            <w:pPr>
              <w:ind w:right="2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Pomoći (36)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ABC6" w14:textId="77777777" w:rsidR="001366A3" w:rsidRPr="00D46255" w:rsidRDefault="001366A3" w:rsidP="00E91B36">
            <w:pPr>
              <w:ind w:left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55.610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4209" w14:textId="1518EB55" w:rsidR="001366A3" w:rsidRPr="00D46255" w:rsidRDefault="001366A3" w:rsidP="00E91B36">
            <w:pPr>
              <w:ind w:right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55.610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A9DC" w14:textId="63166071" w:rsidR="001366A3" w:rsidRPr="00D46255" w:rsidRDefault="00D46255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+70</w:t>
            </w:r>
            <w:r w:rsidR="001366A3" w:rsidRPr="00D46255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6273" w14:textId="04E7F393" w:rsidR="001366A3" w:rsidRPr="00D46255" w:rsidRDefault="00E91B36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1B36">
              <w:rPr>
                <w:rFonts w:ascii="Arial" w:hAnsi="Arial" w:cs="Arial"/>
                <w:sz w:val="16"/>
                <w:szCs w:val="16"/>
              </w:rPr>
              <w:t>56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91B36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7D44" w14:textId="6FF42C3C" w:rsidR="001366A3" w:rsidRPr="00D46255" w:rsidRDefault="001366A3" w:rsidP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10</w:t>
            </w:r>
            <w:r w:rsidR="00D46255" w:rsidRPr="00D46255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1366A3" w:rsidRPr="00D46255" w14:paraId="19256B0B" w14:textId="77777777" w:rsidTr="00741388">
        <w:trPr>
          <w:trHeight w:val="15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F67" w14:textId="141828C7" w:rsidR="001366A3" w:rsidRPr="00D46255" w:rsidRDefault="001366A3" w:rsidP="00741388">
            <w:pPr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Naknade građanima i kućanstvima</w:t>
            </w:r>
            <w:r w:rsidR="0074138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(37)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916D" w14:textId="77777777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406.793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F106" w14:textId="7808E2AF" w:rsidR="001366A3" w:rsidRPr="00D46255" w:rsidRDefault="001366A3" w:rsidP="00E91B36">
            <w:pPr>
              <w:ind w:right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447.502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E8BB" w14:textId="51ED7B34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+</w:t>
            </w:r>
            <w:r w:rsidR="00D46255" w:rsidRPr="00D46255">
              <w:rPr>
                <w:rFonts w:ascii="Arial" w:eastAsia="Arial" w:hAnsi="Arial" w:cs="Arial"/>
                <w:sz w:val="16"/>
                <w:szCs w:val="16"/>
              </w:rPr>
              <w:t>33.865</w:t>
            </w: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F127" w14:textId="5A99B64D" w:rsidR="001366A3" w:rsidRPr="00D46255" w:rsidRDefault="00E91B36" w:rsidP="00E9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1B36">
              <w:rPr>
                <w:rFonts w:ascii="Arial" w:hAnsi="Arial" w:cs="Arial"/>
                <w:sz w:val="16"/>
                <w:szCs w:val="16"/>
              </w:rPr>
              <w:t>481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91B36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26E2" w14:textId="4CA57798" w:rsidR="001366A3" w:rsidRPr="00D46255" w:rsidRDefault="00D46255" w:rsidP="001366A3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108</w:t>
            </w:r>
            <w:r w:rsidR="001366A3" w:rsidRPr="00D462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1366A3" w:rsidRPr="00D46255" w14:paraId="256C7555" w14:textId="77777777" w:rsidTr="00741388">
        <w:trPr>
          <w:trHeight w:val="24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4EA6" w14:textId="77777777" w:rsidR="001366A3" w:rsidRPr="00D46255" w:rsidRDefault="001366A3" w:rsidP="00741388">
            <w:pPr>
              <w:ind w:right="4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Ostali rashodi (38)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2559" w14:textId="77777777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570.149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1D83" w14:textId="07ED465E" w:rsidR="001366A3" w:rsidRPr="00D46255" w:rsidRDefault="001366A3" w:rsidP="00E91B36">
            <w:pPr>
              <w:ind w:right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585.070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A884" w14:textId="73A8EAA4" w:rsidR="001366A3" w:rsidRPr="00D46255" w:rsidRDefault="00D46255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-168.307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99FB" w14:textId="34FCE2EA" w:rsidR="001366A3" w:rsidRPr="00D46255" w:rsidRDefault="00E91B36" w:rsidP="00E91B36">
            <w:pPr>
              <w:ind w:left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1B3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91B36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91B36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1DB4" w14:textId="447FD075" w:rsidR="001366A3" w:rsidRPr="00D46255" w:rsidRDefault="00D46255" w:rsidP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</w:tr>
      <w:tr w:rsidR="001366A3" w:rsidRPr="00D46255" w14:paraId="29998CC4" w14:textId="77777777" w:rsidTr="00741388">
        <w:trPr>
          <w:trHeight w:val="19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1791" w14:textId="5907A6AE" w:rsidR="001366A3" w:rsidRPr="00D46255" w:rsidRDefault="001366A3" w:rsidP="00741388">
            <w:pPr>
              <w:spacing w:after="12"/>
              <w:ind w:right="4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D46255">
              <w:rPr>
                <w:rFonts w:ascii="Arial" w:eastAsia="Arial" w:hAnsi="Arial" w:cs="Arial"/>
                <w:sz w:val="16"/>
                <w:szCs w:val="16"/>
              </w:rPr>
              <w:t>nef</w:t>
            </w:r>
            <w:proofErr w:type="spellEnd"/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. Imovine (4)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14AE" w14:textId="77777777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3.462.601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8285" w14:textId="34B1421D" w:rsidR="001366A3" w:rsidRPr="00D46255" w:rsidRDefault="001366A3" w:rsidP="00E91B36">
            <w:pPr>
              <w:ind w:left="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3.866.578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2C8E" w14:textId="3267625B" w:rsidR="001366A3" w:rsidRPr="00D46255" w:rsidRDefault="00D46255" w:rsidP="00E91B36">
            <w:pPr>
              <w:ind w:left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-664</w:t>
            </w:r>
            <w:r w:rsidR="001366A3" w:rsidRPr="00D4625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D46255">
              <w:rPr>
                <w:rFonts w:ascii="Arial" w:eastAsia="Arial" w:hAnsi="Arial" w:cs="Arial"/>
                <w:sz w:val="16"/>
                <w:szCs w:val="16"/>
              </w:rPr>
              <w:t>908</w:t>
            </w:r>
            <w:r w:rsidR="001366A3" w:rsidRPr="00D462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1927" w14:textId="5F89493A" w:rsidR="001366A3" w:rsidRPr="00D46255" w:rsidRDefault="00FD7B98" w:rsidP="00E9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B98">
              <w:rPr>
                <w:rFonts w:ascii="Arial" w:hAnsi="Arial" w:cs="Arial"/>
                <w:sz w:val="16"/>
                <w:szCs w:val="16"/>
              </w:rPr>
              <w:t>222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D7B98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D7A4" w14:textId="25DD09DC" w:rsidR="001366A3" w:rsidRPr="00D46255" w:rsidRDefault="00D46255" w:rsidP="001366A3">
            <w:pPr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83</w:t>
            </w:r>
            <w:r w:rsidR="001366A3" w:rsidRPr="00D462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1366A3" w:rsidRPr="00D46255" w14:paraId="7332BF1F" w14:textId="77777777" w:rsidTr="00741388">
        <w:trPr>
          <w:trHeight w:val="33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A58C" w14:textId="4C9A3D88" w:rsidR="001366A3" w:rsidRPr="00D46255" w:rsidRDefault="001366A3" w:rsidP="00741388">
            <w:pPr>
              <w:spacing w:line="274" w:lineRule="auto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Izdaci za otplatu glavnice primljenih kredita i zajmova (5)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A974" w14:textId="77777777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222.578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24B3" w14:textId="0F4234B2" w:rsidR="001366A3" w:rsidRPr="00D46255" w:rsidRDefault="001366A3" w:rsidP="00E91B36">
            <w:pPr>
              <w:ind w:right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222.578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9D76" w14:textId="4A0517E2" w:rsidR="001366A3" w:rsidRPr="00D46255" w:rsidRDefault="001366A3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74EE" w14:textId="3368F8E7" w:rsidR="001366A3" w:rsidRPr="00D46255" w:rsidRDefault="00E91B36" w:rsidP="00E9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>222.578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D016" w14:textId="77777777" w:rsidR="001366A3" w:rsidRPr="00D46255" w:rsidRDefault="001366A3" w:rsidP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100 </w:t>
            </w:r>
          </w:p>
        </w:tc>
      </w:tr>
      <w:tr w:rsidR="00741388" w:rsidRPr="00D46255" w14:paraId="700E5607" w14:textId="77777777" w:rsidTr="00741388">
        <w:trPr>
          <w:trHeight w:val="2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CDAEE03" w14:textId="77777777" w:rsidR="001366A3" w:rsidRPr="00D46255" w:rsidRDefault="001366A3" w:rsidP="001366A3">
            <w:pPr>
              <w:ind w:righ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UKUPNO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E9DCB4" w14:textId="77777777" w:rsidR="001366A3" w:rsidRPr="00D46255" w:rsidRDefault="001366A3" w:rsidP="00E91B36">
            <w:pPr>
              <w:ind w:left="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>6.118.000,00</w:t>
            </w:r>
            <w:r w:rsidRPr="00D462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5606130" w14:textId="79EC4230" w:rsidR="001366A3" w:rsidRPr="00D46255" w:rsidRDefault="001366A3" w:rsidP="00E91B36">
            <w:pPr>
              <w:ind w:right="2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6.624.880,00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C4C9B9" w14:textId="638C1222" w:rsidR="001366A3" w:rsidRPr="00D46255" w:rsidRDefault="008B0B05" w:rsidP="00E91B36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-718</w:t>
            </w:r>
            <w:r w:rsidR="001366A3" w:rsidRPr="00D46255">
              <w:rPr>
                <w:rFonts w:ascii="Arial" w:eastAsia="Arial" w:hAnsi="Arial" w:cs="Arial"/>
                <w:b/>
                <w:sz w:val="16"/>
                <w:szCs w:val="16"/>
              </w:rPr>
              <w:t xml:space="preserve">.880,00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37B7A13" w14:textId="41F5414E" w:rsidR="001366A3" w:rsidRPr="00D46255" w:rsidRDefault="00FD7B98" w:rsidP="00E91B36">
            <w:pPr>
              <w:ind w:left="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B9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D7B98">
              <w:rPr>
                <w:rFonts w:ascii="Arial" w:hAnsi="Arial" w:cs="Arial"/>
                <w:sz w:val="16"/>
                <w:szCs w:val="16"/>
              </w:rPr>
              <w:t>906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D7B9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30709C2" w14:textId="32B4995D" w:rsidR="001366A3" w:rsidRPr="00D46255" w:rsidRDefault="00E91B36" w:rsidP="001366A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86</w:t>
            </w:r>
          </w:p>
        </w:tc>
      </w:tr>
    </w:tbl>
    <w:p w14:paraId="0022752E" w14:textId="77777777" w:rsidR="001366A3" w:rsidRDefault="001366A3">
      <w:pPr>
        <w:spacing w:after="243" w:line="268" w:lineRule="auto"/>
        <w:ind w:left="388" w:hanging="9"/>
        <w:jc w:val="both"/>
        <w:rPr>
          <w:rFonts w:ascii="Arial" w:eastAsia="Arial" w:hAnsi="Arial" w:cs="Arial"/>
          <w:b/>
        </w:rPr>
      </w:pPr>
    </w:p>
    <w:p w14:paraId="710742CD" w14:textId="193422A9" w:rsidR="009A4B55" w:rsidRDefault="00000000">
      <w:pPr>
        <w:spacing w:after="243" w:line="268" w:lineRule="auto"/>
        <w:ind w:left="388" w:hanging="9"/>
        <w:jc w:val="both"/>
      </w:pPr>
      <w:r>
        <w:rPr>
          <w:rFonts w:ascii="Arial" w:eastAsia="Arial" w:hAnsi="Arial" w:cs="Arial"/>
          <w:b/>
        </w:rPr>
        <w:t xml:space="preserve">Grafikon 2. </w:t>
      </w:r>
    </w:p>
    <w:p w14:paraId="3E9AA0D8" w14:textId="56FB5AF7" w:rsidR="009A4B55" w:rsidRDefault="00E91B36">
      <w:pPr>
        <w:spacing w:after="251"/>
        <w:ind w:right="1015"/>
        <w:jc w:val="right"/>
      </w:pPr>
      <w:r>
        <w:rPr>
          <w:noProof/>
        </w:rPr>
        <w:drawing>
          <wp:inline distT="0" distB="0" distL="0" distR="0" wp14:anchorId="03DD9472" wp14:editId="2153F8FE">
            <wp:extent cx="4137660" cy="2125980"/>
            <wp:effectExtent l="0" t="0" r="15240" b="7620"/>
            <wp:docPr id="171092839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4D194760" w14:textId="77777777" w:rsidR="009A4B55" w:rsidRPr="00E91B36" w:rsidRDefault="00000000" w:rsidP="00E91B36">
      <w:pPr>
        <w:spacing w:after="289" w:line="268" w:lineRule="auto"/>
        <w:ind w:left="2513"/>
        <w:jc w:val="both"/>
        <w:rPr>
          <w:sz w:val="12"/>
        </w:rPr>
      </w:pPr>
      <w:r w:rsidRPr="00E91B36">
        <w:rPr>
          <w:rFonts w:ascii="Arial" w:eastAsia="Arial" w:hAnsi="Arial" w:cs="Arial"/>
          <w:sz w:val="12"/>
        </w:rPr>
        <w:t xml:space="preserve">Izvor: Proračun Općine Jelenje </w:t>
      </w:r>
    </w:p>
    <w:p w14:paraId="5DD3FD99" w14:textId="1B03ED54" w:rsidR="009A4B55" w:rsidRDefault="00BC19B3">
      <w:pPr>
        <w:spacing w:after="131" w:line="268" w:lineRule="auto"/>
        <w:ind w:left="389" w:hanging="9"/>
        <w:jc w:val="both"/>
      </w:pPr>
      <w:r>
        <w:rPr>
          <w:rFonts w:ascii="Arial" w:eastAsia="Arial" w:hAnsi="Arial" w:cs="Arial"/>
        </w:rPr>
        <w:t xml:space="preserve">Smanjeni Proračun, </w:t>
      </w:r>
      <w:r w:rsidR="00711931">
        <w:rPr>
          <w:rFonts w:ascii="Arial" w:eastAsia="Arial" w:hAnsi="Arial" w:cs="Arial"/>
        </w:rPr>
        <w:t>smanjeni</w:t>
      </w:r>
      <w:r>
        <w:rPr>
          <w:rFonts w:ascii="Arial" w:eastAsia="Arial" w:hAnsi="Arial" w:cs="Arial"/>
        </w:rPr>
        <w:t xml:space="preserve"> Prihodi poslovanja </w:t>
      </w:r>
      <w:r w:rsidR="00711931">
        <w:rPr>
          <w:rFonts w:ascii="Arial" w:eastAsia="Arial" w:hAnsi="Arial" w:cs="Arial"/>
        </w:rPr>
        <w:t>i Prihodi od nefinancijske imovine utječu na smanjuje</w:t>
      </w:r>
      <w:r>
        <w:rPr>
          <w:rFonts w:ascii="Arial" w:eastAsia="Arial" w:hAnsi="Arial" w:cs="Arial"/>
        </w:rPr>
        <w:t xml:space="preserve"> Rashoda poslovanja za </w:t>
      </w:r>
      <w:r w:rsidR="00711931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% i Rashoda za nabavu nefinancijske imovine za 1</w:t>
      </w:r>
      <w:r w:rsidR="00711931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% u odnosu na </w:t>
      </w:r>
      <w:r w:rsidR="00711931">
        <w:rPr>
          <w:rFonts w:ascii="Arial" w:eastAsia="Arial" w:hAnsi="Arial" w:cs="Arial"/>
        </w:rPr>
        <w:t xml:space="preserve">prve izmjene i dopune </w:t>
      </w:r>
      <w:r>
        <w:rPr>
          <w:rFonts w:ascii="Arial" w:eastAsia="Arial" w:hAnsi="Arial" w:cs="Arial"/>
        </w:rPr>
        <w:t>plan</w:t>
      </w:r>
      <w:r w:rsidR="0071193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za 2023. godine.  </w:t>
      </w:r>
    </w:p>
    <w:p w14:paraId="28B4BA9D" w14:textId="77777777" w:rsidR="009A4B55" w:rsidRDefault="00000000">
      <w:pPr>
        <w:spacing w:after="15" w:line="268" w:lineRule="auto"/>
        <w:ind w:left="389" w:hanging="9"/>
        <w:jc w:val="both"/>
      </w:pPr>
      <w:r>
        <w:rPr>
          <w:rFonts w:ascii="Arial" w:eastAsia="Arial" w:hAnsi="Arial" w:cs="Arial"/>
        </w:rPr>
        <w:lastRenderedPageBreak/>
        <w:t xml:space="preserve">Unutar skupine rashoda poslovanja i rashoda za nabavu nefinancijske imovine došlo je do slijedećih izmjena: </w:t>
      </w:r>
    </w:p>
    <w:p w14:paraId="232B5D77" w14:textId="77777777" w:rsidR="00711931" w:rsidRPr="00711931" w:rsidRDefault="00000000">
      <w:pPr>
        <w:numPr>
          <w:ilvl w:val="0"/>
          <w:numId w:val="4"/>
        </w:numPr>
        <w:spacing w:after="20" w:line="268" w:lineRule="auto"/>
        <w:ind w:hanging="413"/>
        <w:jc w:val="both"/>
      </w:pPr>
      <w:r>
        <w:rPr>
          <w:rFonts w:ascii="Arial" w:eastAsia="Arial" w:hAnsi="Arial" w:cs="Arial"/>
        </w:rPr>
        <w:t xml:space="preserve">materijalni rashodi </w:t>
      </w:r>
      <w:r w:rsidR="00711931">
        <w:rPr>
          <w:rFonts w:ascii="Arial" w:eastAsia="Arial" w:hAnsi="Arial" w:cs="Arial"/>
        </w:rPr>
        <w:t>poveća</w:t>
      </w:r>
      <w:r>
        <w:rPr>
          <w:rFonts w:ascii="Arial" w:eastAsia="Arial" w:hAnsi="Arial" w:cs="Arial"/>
        </w:rPr>
        <w:t xml:space="preserve">ni su za </w:t>
      </w:r>
      <w:r w:rsidR="00711931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% </w:t>
      </w:r>
    </w:p>
    <w:p w14:paraId="3867DF52" w14:textId="3041ED2B" w:rsidR="009A4B55" w:rsidRDefault="00711931" w:rsidP="00711931">
      <w:pPr>
        <w:numPr>
          <w:ilvl w:val="0"/>
          <w:numId w:val="4"/>
        </w:numPr>
        <w:spacing w:after="131" w:line="268" w:lineRule="auto"/>
        <w:ind w:hanging="413"/>
        <w:jc w:val="both"/>
      </w:pPr>
      <w:r>
        <w:rPr>
          <w:rFonts w:ascii="Arial" w:eastAsia="Arial" w:hAnsi="Arial" w:cs="Arial"/>
        </w:rPr>
        <w:t>pomoći unutar općeg proračuna su povećane 1%</w:t>
      </w:r>
      <w:r w:rsidRPr="00711931">
        <w:rPr>
          <w:rFonts w:ascii="Arial" w:eastAsia="Arial" w:hAnsi="Arial" w:cs="Arial"/>
        </w:rPr>
        <w:t xml:space="preserve"> </w:t>
      </w:r>
    </w:p>
    <w:p w14:paraId="03EF0ECE" w14:textId="39D1128A" w:rsidR="009A4B55" w:rsidRDefault="00000000">
      <w:pPr>
        <w:numPr>
          <w:ilvl w:val="0"/>
          <w:numId w:val="4"/>
        </w:numPr>
        <w:spacing w:after="131" w:line="268" w:lineRule="auto"/>
        <w:ind w:hanging="413"/>
        <w:jc w:val="both"/>
      </w:pPr>
      <w:r>
        <w:rPr>
          <w:rFonts w:ascii="Arial" w:eastAsia="Arial" w:hAnsi="Arial" w:cs="Arial"/>
        </w:rPr>
        <w:t xml:space="preserve">naknade građanima i kućanstvima na temelju osiguranja i dr. naknade povećane su za </w:t>
      </w:r>
      <w:r w:rsidR="0011324C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% </w:t>
      </w:r>
    </w:p>
    <w:p w14:paraId="0517A94A" w14:textId="6EA0298C" w:rsidR="009A4B55" w:rsidRDefault="00000000">
      <w:pPr>
        <w:numPr>
          <w:ilvl w:val="0"/>
          <w:numId w:val="4"/>
        </w:numPr>
        <w:spacing w:after="131" w:line="268" w:lineRule="auto"/>
        <w:ind w:hanging="413"/>
        <w:jc w:val="both"/>
      </w:pPr>
      <w:r>
        <w:rPr>
          <w:rFonts w:ascii="Arial" w:eastAsia="Arial" w:hAnsi="Arial" w:cs="Arial"/>
        </w:rPr>
        <w:t xml:space="preserve">ostali rashodi </w:t>
      </w:r>
      <w:r w:rsidR="0011324C">
        <w:rPr>
          <w:rFonts w:ascii="Arial" w:eastAsia="Arial" w:hAnsi="Arial" w:cs="Arial"/>
        </w:rPr>
        <w:t>smanjeni</w:t>
      </w:r>
      <w:r>
        <w:rPr>
          <w:rFonts w:ascii="Arial" w:eastAsia="Arial" w:hAnsi="Arial" w:cs="Arial"/>
        </w:rPr>
        <w:t xml:space="preserve"> su za </w:t>
      </w:r>
      <w:r w:rsidR="0011324C">
        <w:rPr>
          <w:rFonts w:ascii="Arial" w:eastAsia="Arial" w:hAnsi="Arial" w:cs="Arial"/>
        </w:rPr>
        <w:t>29</w:t>
      </w:r>
      <w:r>
        <w:rPr>
          <w:rFonts w:ascii="Arial" w:eastAsia="Arial" w:hAnsi="Arial" w:cs="Arial"/>
        </w:rPr>
        <w:t xml:space="preserve">% </w:t>
      </w:r>
    </w:p>
    <w:p w14:paraId="77C6350D" w14:textId="3019754E" w:rsidR="009A4B55" w:rsidRDefault="00000000">
      <w:pPr>
        <w:numPr>
          <w:ilvl w:val="0"/>
          <w:numId w:val="4"/>
        </w:numPr>
        <w:spacing w:after="0" w:line="268" w:lineRule="auto"/>
        <w:ind w:hanging="413"/>
        <w:jc w:val="both"/>
      </w:pPr>
      <w:r>
        <w:rPr>
          <w:rFonts w:ascii="Arial" w:eastAsia="Arial" w:hAnsi="Arial" w:cs="Arial"/>
        </w:rPr>
        <w:t>rashodi za nabavu nefinancijske imovine povećani su za 1</w:t>
      </w:r>
      <w:r w:rsidR="0011324C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% </w:t>
      </w:r>
    </w:p>
    <w:p w14:paraId="09EE2445" w14:textId="77777777" w:rsidR="009A4B55" w:rsidRDefault="00000000">
      <w:pPr>
        <w:spacing w:after="0"/>
        <w:ind w:left="569"/>
        <w:jc w:val="center"/>
      </w:pPr>
      <w:r>
        <w:rPr>
          <w:rFonts w:ascii="Arial" w:eastAsia="Arial" w:hAnsi="Arial" w:cs="Arial"/>
        </w:rPr>
        <w:t xml:space="preserve"> </w:t>
      </w:r>
    </w:p>
    <w:p w14:paraId="2CD46485" w14:textId="77777777" w:rsidR="00711931" w:rsidRDefault="00711931">
      <w:pPr>
        <w:spacing w:after="17" w:line="268" w:lineRule="auto"/>
        <w:ind w:left="389" w:hanging="9"/>
        <w:jc w:val="both"/>
        <w:rPr>
          <w:rFonts w:ascii="Arial" w:eastAsia="Arial" w:hAnsi="Arial" w:cs="Arial"/>
        </w:rPr>
      </w:pPr>
    </w:p>
    <w:p w14:paraId="558D978C" w14:textId="6C3448A9" w:rsidR="009A4B55" w:rsidRDefault="00000000">
      <w:pPr>
        <w:spacing w:after="17" w:line="268" w:lineRule="auto"/>
        <w:ind w:left="389" w:hanging="9"/>
        <w:jc w:val="both"/>
      </w:pPr>
      <w:r>
        <w:rPr>
          <w:rFonts w:ascii="Arial" w:eastAsia="Arial" w:hAnsi="Arial" w:cs="Arial"/>
        </w:rPr>
        <w:t xml:space="preserve">Na istoj razini ostali su slijedeći rashodi: </w:t>
      </w:r>
    </w:p>
    <w:p w14:paraId="33FBC0A2" w14:textId="77777777" w:rsidR="009A4B55" w:rsidRDefault="00000000">
      <w:pPr>
        <w:numPr>
          <w:ilvl w:val="0"/>
          <w:numId w:val="4"/>
        </w:numPr>
        <w:spacing w:after="17" w:line="268" w:lineRule="auto"/>
        <w:ind w:hanging="413"/>
        <w:jc w:val="both"/>
      </w:pPr>
      <w:r>
        <w:rPr>
          <w:rFonts w:ascii="Arial" w:eastAsia="Arial" w:hAnsi="Arial" w:cs="Arial"/>
        </w:rPr>
        <w:t xml:space="preserve">rashodi za zaposlene </w:t>
      </w:r>
    </w:p>
    <w:p w14:paraId="5C19DA78" w14:textId="77777777" w:rsidR="009A4B55" w:rsidRPr="00711931" w:rsidRDefault="00000000">
      <w:pPr>
        <w:numPr>
          <w:ilvl w:val="0"/>
          <w:numId w:val="4"/>
        </w:numPr>
        <w:spacing w:after="17" w:line="268" w:lineRule="auto"/>
        <w:ind w:hanging="413"/>
        <w:jc w:val="both"/>
      </w:pPr>
      <w:r>
        <w:rPr>
          <w:rFonts w:ascii="Arial" w:eastAsia="Arial" w:hAnsi="Arial" w:cs="Arial"/>
        </w:rPr>
        <w:t xml:space="preserve">financijski rashodi </w:t>
      </w:r>
    </w:p>
    <w:p w14:paraId="3858EE01" w14:textId="35D92B84" w:rsidR="00711931" w:rsidRDefault="00711931">
      <w:pPr>
        <w:numPr>
          <w:ilvl w:val="0"/>
          <w:numId w:val="4"/>
        </w:numPr>
        <w:spacing w:after="17" w:line="268" w:lineRule="auto"/>
        <w:ind w:hanging="413"/>
        <w:jc w:val="both"/>
      </w:pPr>
      <w:r>
        <w:rPr>
          <w:rFonts w:ascii="Arial" w:eastAsia="Arial" w:hAnsi="Arial" w:cs="Arial"/>
        </w:rPr>
        <w:t>subvencije</w:t>
      </w:r>
    </w:p>
    <w:p w14:paraId="19434FED" w14:textId="03F2F640" w:rsidR="009A4B55" w:rsidRDefault="009A4B55">
      <w:pPr>
        <w:spacing w:after="16"/>
        <w:ind w:left="394"/>
      </w:pPr>
    </w:p>
    <w:p w14:paraId="3893B555" w14:textId="77777777" w:rsidR="00BC19B3" w:rsidRDefault="00BC19B3">
      <w:pPr>
        <w:spacing w:after="8" w:line="268" w:lineRule="auto"/>
        <w:ind w:left="388" w:hanging="9"/>
        <w:jc w:val="both"/>
        <w:rPr>
          <w:rFonts w:ascii="Arial" w:eastAsia="Arial" w:hAnsi="Arial" w:cs="Arial"/>
          <w:b/>
        </w:rPr>
      </w:pPr>
    </w:p>
    <w:p w14:paraId="67DFF95F" w14:textId="77777777" w:rsidR="002E74D0" w:rsidRDefault="002E74D0" w:rsidP="0011324C">
      <w:pPr>
        <w:spacing w:after="8" w:line="268" w:lineRule="auto"/>
        <w:ind w:left="388" w:hanging="9"/>
        <w:jc w:val="both"/>
        <w:rPr>
          <w:rFonts w:ascii="Arial" w:eastAsia="Arial" w:hAnsi="Arial" w:cs="Arial"/>
          <w:b/>
        </w:rPr>
      </w:pPr>
    </w:p>
    <w:p w14:paraId="603AF7EF" w14:textId="24B8FD73" w:rsidR="0011324C" w:rsidRPr="0011324C" w:rsidRDefault="0011324C" w:rsidP="0011324C">
      <w:pPr>
        <w:spacing w:after="8" w:line="268" w:lineRule="auto"/>
        <w:ind w:left="388" w:hanging="9"/>
        <w:jc w:val="both"/>
      </w:pPr>
      <w:r w:rsidRPr="0011324C">
        <w:rPr>
          <w:rFonts w:ascii="Arial" w:eastAsia="Arial" w:hAnsi="Arial" w:cs="Arial"/>
          <w:b/>
        </w:rPr>
        <w:t xml:space="preserve">III. OBRAZLOŽENJE IZMJENA I DOPUNA PLANIRANIH RASHODA PO PROGRAMSKOJ </w:t>
      </w:r>
    </w:p>
    <w:p w14:paraId="51467E8A" w14:textId="77777777" w:rsidR="0011324C" w:rsidRPr="0011324C" w:rsidRDefault="0011324C" w:rsidP="0011324C">
      <w:pPr>
        <w:spacing w:after="8" w:line="268" w:lineRule="auto"/>
        <w:ind w:left="388" w:hanging="9"/>
        <w:jc w:val="both"/>
      </w:pPr>
      <w:r w:rsidRPr="0011324C">
        <w:rPr>
          <w:rFonts w:ascii="Arial" w:eastAsia="Arial" w:hAnsi="Arial" w:cs="Arial"/>
          <w:b/>
        </w:rPr>
        <w:t xml:space="preserve">KLASIFIKACIJI:  </w:t>
      </w:r>
    </w:p>
    <w:p w14:paraId="1871517F" w14:textId="77777777" w:rsidR="0011324C" w:rsidRPr="0011324C" w:rsidRDefault="0011324C" w:rsidP="0011324C">
      <w:pPr>
        <w:spacing w:after="136"/>
        <w:ind w:left="394"/>
      </w:pPr>
      <w:r w:rsidRPr="0011324C">
        <w:rPr>
          <w:rFonts w:ascii="Arial" w:eastAsia="Arial" w:hAnsi="Arial" w:cs="Arial"/>
          <w:b/>
        </w:rPr>
        <w:t xml:space="preserve"> </w:t>
      </w:r>
    </w:p>
    <w:p w14:paraId="4E50350D" w14:textId="77777777" w:rsidR="0011324C" w:rsidRPr="0011324C" w:rsidRDefault="0011324C" w:rsidP="0011324C">
      <w:pPr>
        <w:spacing w:after="128" w:line="268" w:lineRule="auto"/>
        <w:ind w:left="388" w:hanging="9"/>
        <w:jc w:val="both"/>
      </w:pPr>
      <w:r w:rsidRPr="0011324C">
        <w:rPr>
          <w:rFonts w:ascii="Arial" w:eastAsia="Arial" w:hAnsi="Arial" w:cs="Arial"/>
          <w:b/>
        </w:rPr>
        <w:t>PROGRAM – Donošenje akata i mjera iz djelokruga predstavničkog, izvršnog tijela i mjesne samouprave</w:t>
      </w:r>
      <w:r w:rsidRPr="0011324C">
        <w:rPr>
          <w:rFonts w:ascii="Arial" w:eastAsia="Arial" w:hAnsi="Arial" w:cs="Arial"/>
        </w:rPr>
        <w:t xml:space="preserve"> povećava se za 1.973,00 eura.  </w:t>
      </w:r>
    </w:p>
    <w:p w14:paraId="76100B3C" w14:textId="77777777" w:rsidR="0011324C" w:rsidRPr="0011324C" w:rsidRDefault="0011324C" w:rsidP="0011324C">
      <w:pPr>
        <w:spacing w:after="130" w:line="268" w:lineRule="auto"/>
        <w:ind w:left="389" w:hanging="9"/>
        <w:jc w:val="both"/>
        <w:rPr>
          <w:rFonts w:ascii="Arial" w:eastAsia="Arial" w:hAnsi="Arial" w:cs="Arial"/>
        </w:rPr>
      </w:pPr>
      <w:r w:rsidRPr="0011324C">
        <w:rPr>
          <w:rFonts w:ascii="Arial" w:eastAsia="Arial" w:hAnsi="Arial" w:cs="Arial"/>
        </w:rPr>
        <w:t>Unutar navedenog programa, glava Načelnik, dolazi do povećanja u iznosu od 1.973,00 eura.  Povećanje se odnosi na Aktivnost 100108 – Proslave i pokroviteljstva, gdje dolazi do povećanja u iznosu od 1.455,00 eura, a sve uslijed povećanja cijena roba i usluga potrebnih za održavanje manifestacija (</w:t>
      </w:r>
      <w:proofErr w:type="spellStart"/>
      <w:r w:rsidRPr="0011324C">
        <w:rPr>
          <w:rFonts w:ascii="Arial" w:eastAsia="Arial" w:hAnsi="Arial" w:cs="Arial"/>
        </w:rPr>
        <w:t>Mihoja</w:t>
      </w:r>
      <w:proofErr w:type="spellEnd"/>
      <w:r w:rsidRPr="0011324C">
        <w:rPr>
          <w:rFonts w:ascii="Arial" w:eastAsia="Arial" w:hAnsi="Arial" w:cs="Arial"/>
        </w:rPr>
        <w:t xml:space="preserve">, Feral </w:t>
      </w:r>
      <w:proofErr w:type="spellStart"/>
      <w:r w:rsidRPr="0011324C">
        <w:rPr>
          <w:rFonts w:ascii="Arial" w:eastAsia="Arial" w:hAnsi="Arial" w:cs="Arial"/>
        </w:rPr>
        <w:t>ki'j</w:t>
      </w:r>
      <w:proofErr w:type="spellEnd"/>
      <w:r w:rsidRPr="0011324C">
        <w:rPr>
          <w:rFonts w:ascii="Arial" w:eastAsia="Arial" w:hAnsi="Arial" w:cs="Arial"/>
        </w:rPr>
        <w:t xml:space="preserve"> </w:t>
      </w:r>
      <w:proofErr w:type="spellStart"/>
      <w:r w:rsidRPr="0011324C">
        <w:rPr>
          <w:rFonts w:ascii="Arial" w:eastAsia="Arial" w:hAnsi="Arial" w:cs="Arial"/>
        </w:rPr>
        <w:t>pušćal</w:t>
      </w:r>
      <w:proofErr w:type="spellEnd"/>
      <w:r w:rsidRPr="0011324C">
        <w:rPr>
          <w:rFonts w:ascii="Arial" w:eastAsia="Arial" w:hAnsi="Arial" w:cs="Arial"/>
        </w:rPr>
        <w:t xml:space="preserve"> </w:t>
      </w:r>
      <w:proofErr w:type="spellStart"/>
      <w:r w:rsidRPr="0011324C">
        <w:rPr>
          <w:rFonts w:ascii="Arial" w:eastAsia="Arial" w:hAnsi="Arial" w:cs="Arial"/>
        </w:rPr>
        <w:t>sinjal</w:t>
      </w:r>
      <w:proofErr w:type="spellEnd"/>
      <w:r w:rsidRPr="0011324C">
        <w:rPr>
          <w:rFonts w:ascii="Arial" w:eastAsia="Arial" w:hAnsi="Arial" w:cs="Arial"/>
        </w:rPr>
        <w:t xml:space="preserve">, obilježavanja božićno – novogodišnjih blagdana). </w:t>
      </w:r>
    </w:p>
    <w:p w14:paraId="608C02FE" w14:textId="4663319D" w:rsidR="0011324C" w:rsidRPr="0011324C" w:rsidRDefault="0011324C" w:rsidP="0011324C">
      <w:pPr>
        <w:spacing w:after="130" w:line="268" w:lineRule="auto"/>
        <w:ind w:left="389" w:hanging="9"/>
        <w:jc w:val="both"/>
      </w:pPr>
      <w:r w:rsidRPr="0011324C">
        <w:rPr>
          <w:rFonts w:ascii="Arial" w:eastAsia="Arial" w:hAnsi="Arial" w:cs="Arial"/>
        </w:rPr>
        <w:t xml:space="preserve">Do povećanja u iznosu od 518,00 eura dolazi unutar Aktivnosti A100112 – Materijalni rashodi </w:t>
      </w:r>
      <w:r>
        <w:rPr>
          <w:rFonts w:ascii="Arial" w:eastAsia="Arial" w:hAnsi="Arial" w:cs="Arial"/>
        </w:rPr>
        <w:t xml:space="preserve">– Službena putovanja </w:t>
      </w:r>
      <w:r w:rsidRPr="0011324C">
        <w:rPr>
          <w:rFonts w:ascii="Arial" w:eastAsia="Arial" w:hAnsi="Arial" w:cs="Arial"/>
        </w:rPr>
        <w:t xml:space="preserve">zbog </w:t>
      </w:r>
      <w:r>
        <w:rPr>
          <w:rFonts w:ascii="Arial" w:eastAsia="Arial" w:hAnsi="Arial" w:cs="Arial"/>
        </w:rPr>
        <w:t xml:space="preserve">planiranog povećanog posjeta </w:t>
      </w:r>
      <w:r w:rsidR="00E838BA">
        <w:rPr>
          <w:rFonts w:ascii="Arial" w:eastAsia="Arial" w:hAnsi="Arial" w:cs="Arial"/>
        </w:rPr>
        <w:t>Ministarstvima</w:t>
      </w:r>
      <w:r>
        <w:rPr>
          <w:rFonts w:ascii="Arial" w:eastAsia="Arial" w:hAnsi="Arial" w:cs="Arial"/>
        </w:rPr>
        <w:t xml:space="preserve"> u svrhu financiranja planiranih projekata. </w:t>
      </w:r>
    </w:p>
    <w:p w14:paraId="765BB066" w14:textId="77777777" w:rsidR="0011324C" w:rsidRPr="0011324C" w:rsidRDefault="0011324C" w:rsidP="0011324C">
      <w:pPr>
        <w:spacing w:after="131" w:line="268" w:lineRule="auto"/>
        <w:ind w:left="389" w:hanging="9"/>
        <w:jc w:val="both"/>
      </w:pPr>
      <w:r w:rsidRPr="0011324C">
        <w:rPr>
          <w:rFonts w:ascii="Arial" w:eastAsia="Arial" w:hAnsi="Arial" w:cs="Arial"/>
          <w:b/>
        </w:rPr>
        <w:t>PROGRAM</w:t>
      </w:r>
      <w:r w:rsidRPr="0011324C">
        <w:rPr>
          <w:rFonts w:ascii="Arial" w:eastAsia="Arial" w:hAnsi="Arial" w:cs="Arial"/>
        </w:rPr>
        <w:t xml:space="preserve"> – </w:t>
      </w:r>
      <w:r w:rsidRPr="0011324C">
        <w:rPr>
          <w:rFonts w:ascii="Arial" w:eastAsia="Arial" w:hAnsi="Arial" w:cs="Arial"/>
          <w:b/>
        </w:rPr>
        <w:t>Lokalna samouprava</w:t>
      </w:r>
      <w:r w:rsidRPr="0011324C">
        <w:rPr>
          <w:rFonts w:ascii="Arial" w:eastAsia="Arial" w:hAnsi="Arial" w:cs="Arial"/>
        </w:rPr>
        <w:t xml:space="preserve">, povećava se za  16.357,00 eura. </w:t>
      </w:r>
    </w:p>
    <w:p w14:paraId="368B2900" w14:textId="77777777" w:rsidR="0011324C" w:rsidRPr="0011324C" w:rsidRDefault="0011324C" w:rsidP="0011324C">
      <w:pPr>
        <w:spacing w:after="131" w:line="268" w:lineRule="auto"/>
        <w:ind w:left="389" w:hanging="9"/>
        <w:jc w:val="both"/>
        <w:rPr>
          <w:rFonts w:ascii="Arial" w:eastAsia="Arial" w:hAnsi="Arial" w:cs="Arial"/>
        </w:rPr>
      </w:pPr>
      <w:r w:rsidRPr="0011324C">
        <w:rPr>
          <w:rFonts w:ascii="Arial" w:eastAsia="Arial" w:hAnsi="Arial" w:cs="Arial"/>
        </w:rPr>
        <w:t xml:space="preserve">Aktivnost A102302 Materijalni rashodi povećava se za 12.620,00 eura, po pozicijama kako slijedi: </w:t>
      </w:r>
    </w:p>
    <w:p w14:paraId="13B0A6DD" w14:textId="77777777" w:rsidR="0011324C" w:rsidRPr="0011324C" w:rsidRDefault="0011324C" w:rsidP="0011324C">
      <w:pPr>
        <w:pStyle w:val="Odlomakpopisa"/>
        <w:numPr>
          <w:ilvl w:val="0"/>
          <w:numId w:val="5"/>
        </w:numPr>
        <w:spacing w:after="131" w:line="268" w:lineRule="auto"/>
        <w:jc w:val="both"/>
        <w:rPr>
          <w:rFonts w:ascii="Arial" w:hAnsi="Arial" w:cs="Arial"/>
        </w:rPr>
      </w:pPr>
      <w:r w:rsidRPr="0011324C">
        <w:rPr>
          <w:rFonts w:ascii="Arial" w:hAnsi="Arial" w:cs="Arial"/>
        </w:rPr>
        <w:t xml:space="preserve">pozicija 14 – Sitni inventar i </w:t>
      </w:r>
      <w:proofErr w:type="spellStart"/>
      <w:r w:rsidRPr="0011324C">
        <w:rPr>
          <w:rFonts w:ascii="Arial" w:hAnsi="Arial" w:cs="Arial"/>
        </w:rPr>
        <w:t>autogume</w:t>
      </w:r>
      <w:proofErr w:type="spellEnd"/>
      <w:r w:rsidRPr="0011324C">
        <w:rPr>
          <w:rFonts w:ascii="Arial" w:hAnsi="Arial" w:cs="Arial"/>
        </w:rPr>
        <w:t xml:space="preserve"> povećava se za iznos od 500,00 eura, na ime kupnje novih zimskih guma</w:t>
      </w:r>
    </w:p>
    <w:p w14:paraId="7AFE3929" w14:textId="77777777" w:rsidR="0011324C" w:rsidRPr="0011324C" w:rsidRDefault="0011324C" w:rsidP="0011324C">
      <w:pPr>
        <w:numPr>
          <w:ilvl w:val="0"/>
          <w:numId w:val="5"/>
        </w:numPr>
        <w:spacing w:after="130" w:line="268" w:lineRule="auto"/>
        <w:ind w:hanging="9"/>
        <w:jc w:val="both"/>
      </w:pPr>
      <w:r w:rsidRPr="0011324C">
        <w:rPr>
          <w:rFonts w:ascii="Arial" w:eastAsia="Arial" w:hAnsi="Arial" w:cs="Arial"/>
        </w:rPr>
        <w:t>pozicija 15 – Usluge telefona, pošte i prijevoza povećava se za iznos od 490,00 eura, na ime povećanih potreba za poštanskim uslugama</w:t>
      </w:r>
    </w:p>
    <w:p w14:paraId="05E3C1AD" w14:textId="430F0CB1" w:rsidR="0011324C" w:rsidRPr="0011324C" w:rsidRDefault="0011324C" w:rsidP="0011324C">
      <w:pPr>
        <w:numPr>
          <w:ilvl w:val="0"/>
          <w:numId w:val="5"/>
        </w:numPr>
        <w:spacing w:after="130" w:line="268" w:lineRule="auto"/>
        <w:ind w:hanging="9"/>
        <w:jc w:val="both"/>
      </w:pPr>
      <w:r w:rsidRPr="0011324C">
        <w:rPr>
          <w:rFonts w:ascii="Arial" w:eastAsia="Arial" w:hAnsi="Arial" w:cs="Arial"/>
        </w:rPr>
        <w:t>pozicija 16 – Usluge tekućeg i investicijskog održavanja povećava se za iznos od 2.364,00 eura, na ime korištenje usluga popravaka imovine u vlasništvu općine</w:t>
      </w:r>
      <w:r w:rsidR="00E838BA">
        <w:rPr>
          <w:rFonts w:ascii="Arial" w:eastAsia="Arial" w:hAnsi="Arial" w:cs="Arial"/>
        </w:rPr>
        <w:t xml:space="preserve"> i pojačanog </w:t>
      </w:r>
      <w:proofErr w:type="spellStart"/>
      <w:r w:rsidR="00E838BA">
        <w:rPr>
          <w:rFonts w:ascii="Arial" w:eastAsia="Arial" w:hAnsi="Arial" w:cs="Arial"/>
        </w:rPr>
        <w:t>printanja</w:t>
      </w:r>
      <w:proofErr w:type="spellEnd"/>
      <w:r w:rsidR="00E838BA">
        <w:rPr>
          <w:rFonts w:ascii="Arial" w:eastAsia="Arial" w:hAnsi="Arial" w:cs="Arial"/>
        </w:rPr>
        <w:t xml:space="preserve"> materijal potrebnih za dostavu tijelu državne uprave</w:t>
      </w:r>
    </w:p>
    <w:p w14:paraId="0D89ACFE" w14:textId="77777777" w:rsidR="0011324C" w:rsidRPr="0011324C" w:rsidRDefault="0011324C" w:rsidP="0011324C">
      <w:pPr>
        <w:numPr>
          <w:ilvl w:val="0"/>
          <w:numId w:val="5"/>
        </w:numPr>
        <w:spacing w:after="130" w:line="268" w:lineRule="auto"/>
        <w:ind w:hanging="9"/>
        <w:jc w:val="both"/>
      </w:pPr>
      <w:r w:rsidRPr="0011324C">
        <w:rPr>
          <w:rFonts w:ascii="Arial" w:eastAsia="Arial" w:hAnsi="Arial" w:cs="Arial"/>
        </w:rPr>
        <w:t>pozicija 17 – Usluge promidžbe i informiranja povećava se za iznos od 1.455,00 eura, zbog većeg broja objavljivanja oglasa u Novom Listu</w:t>
      </w:r>
    </w:p>
    <w:p w14:paraId="75BE4704" w14:textId="77777777" w:rsidR="0011324C" w:rsidRPr="0011324C" w:rsidRDefault="0011324C" w:rsidP="0011324C">
      <w:pPr>
        <w:numPr>
          <w:ilvl w:val="0"/>
          <w:numId w:val="5"/>
        </w:numPr>
        <w:spacing w:after="130" w:line="268" w:lineRule="auto"/>
        <w:ind w:hanging="9"/>
        <w:jc w:val="both"/>
      </w:pPr>
      <w:r w:rsidRPr="0011324C">
        <w:rPr>
          <w:rFonts w:ascii="Arial" w:eastAsia="Arial" w:hAnsi="Arial" w:cs="Arial"/>
        </w:rPr>
        <w:t>pozicija 21 – Intelektualne i osobne usluge povećava se za iznos od 5.801,00 eura, zbog korištenja konzultantskih usluga za izračun utjecaja novih poreznih stopa Poreza na dohodak</w:t>
      </w:r>
    </w:p>
    <w:p w14:paraId="1FB74DE1" w14:textId="77777777" w:rsidR="0011324C" w:rsidRPr="0011324C" w:rsidRDefault="0011324C" w:rsidP="0011324C">
      <w:pPr>
        <w:numPr>
          <w:ilvl w:val="0"/>
          <w:numId w:val="5"/>
        </w:numPr>
        <w:spacing w:after="8" w:line="268" w:lineRule="auto"/>
        <w:ind w:hanging="9"/>
        <w:jc w:val="both"/>
      </w:pPr>
      <w:r w:rsidRPr="0011324C">
        <w:rPr>
          <w:rFonts w:ascii="Arial" w:eastAsia="Arial" w:hAnsi="Arial" w:cs="Arial"/>
        </w:rPr>
        <w:lastRenderedPageBreak/>
        <w:t xml:space="preserve">pozicija 22 – Računalne usluge – povećava se za iznos od 2.000,00 eura zbog usluge implementacije modula i edukacije od strane </w:t>
      </w:r>
      <w:proofErr w:type="spellStart"/>
      <w:r w:rsidRPr="0011324C">
        <w:rPr>
          <w:rFonts w:ascii="Arial" w:eastAsia="Arial" w:hAnsi="Arial" w:cs="Arial"/>
        </w:rPr>
        <w:t>Swing</w:t>
      </w:r>
      <w:proofErr w:type="spellEnd"/>
      <w:r w:rsidRPr="0011324C">
        <w:rPr>
          <w:rFonts w:ascii="Arial" w:eastAsia="Arial" w:hAnsi="Arial" w:cs="Arial"/>
        </w:rPr>
        <w:t xml:space="preserve"> informatike d.o.o.</w:t>
      </w:r>
    </w:p>
    <w:p w14:paraId="56337A18" w14:textId="77777777" w:rsidR="0011324C" w:rsidRPr="0011324C" w:rsidRDefault="0011324C" w:rsidP="0011324C">
      <w:pPr>
        <w:spacing w:after="6" w:line="268" w:lineRule="auto"/>
        <w:ind w:left="389" w:hanging="9"/>
        <w:jc w:val="both"/>
      </w:pPr>
      <w:r w:rsidRPr="0011324C">
        <w:rPr>
          <w:rFonts w:ascii="Arial" w:eastAsia="Arial" w:hAnsi="Arial" w:cs="Arial"/>
        </w:rPr>
        <w:t>Do povećanja u iznosu od 3.737,00 eura dolazi unutar Aktivnosti A102305 Naknada poreznoj upravi i to zbog veće naplate 1% prihoda od poreza i prireza.</w:t>
      </w:r>
    </w:p>
    <w:p w14:paraId="0FDFBDE4" w14:textId="77777777" w:rsidR="0011324C" w:rsidRPr="0011324C" w:rsidRDefault="0011324C" w:rsidP="0011324C">
      <w:pPr>
        <w:spacing w:after="16"/>
        <w:ind w:left="394"/>
      </w:pPr>
      <w:r w:rsidRPr="0011324C">
        <w:rPr>
          <w:rFonts w:ascii="Arial" w:eastAsia="Arial" w:hAnsi="Arial" w:cs="Arial"/>
          <w:b/>
        </w:rPr>
        <w:t xml:space="preserve"> </w:t>
      </w:r>
    </w:p>
    <w:p w14:paraId="2A4F2895" w14:textId="77777777" w:rsidR="002E74D0" w:rsidRDefault="002E74D0" w:rsidP="0011324C">
      <w:pPr>
        <w:spacing w:after="8" w:line="268" w:lineRule="auto"/>
        <w:ind w:left="389" w:hanging="9"/>
        <w:jc w:val="both"/>
        <w:rPr>
          <w:rFonts w:ascii="Arial" w:eastAsia="Arial" w:hAnsi="Arial" w:cs="Arial"/>
          <w:b/>
        </w:rPr>
      </w:pPr>
    </w:p>
    <w:p w14:paraId="3069DBDD" w14:textId="77777777" w:rsidR="002E74D0" w:rsidRDefault="002E74D0" w:rsidP="0011324C">
      <w:pPr>
        <w:spacing w:after="8" w:line="268" w:lineRule="auto"/>
        <w:ind w:left="389" w:hanging="9"/>
        <w:jc w:val="both"/>
        <w:rPr>
          <w:rFonts w:ascii="Arial" w:eastAsia="Arial" w:hAnsi="Arial" w:cs="Arial"/>
          <w:b/>
        </w:rPr>
      </w:pPr>
    </w:p>
    <w:p w14:paraId="15849F22" w14:textId="39D4B67E" w:rsidR="0011324C" w:rsidRPr="0011324C" w:rsidRDefault="0011324C" w:rsidP="0011324C">
      <w:pPr>
        <w:spacing w:after="8" w:line="268" w:lineRule="auto"/>
        <w:ind w:left="389" w:hanging="9"/>
        <w:jc w:val="both"/>
      </w:pPr>
      <w:r w:rsidRPr="0011324C">
        <w:rPr>
          <w:rFonts w:ascii="Arial" w:eastAsia="Arial" w:hAnsi="Arial" w:cs="Arial"/>
          <w:b/>
        </w:rPr>
        <w:t>PROGRAM - Upravljanje imovinom</w:t>
      </w:r>
      <w:r w:rsidRPr="0011324C">
        <w:rPr>
          <w:rFonts w:ascii="Arial" w:eastAsia="Arial" w:hAnsi="Arial" w:cs="Arial"/>
        </w:rPr>
        <w:t xml:space="preserve"> smanjuje se na rashodovnoj strani u iznosu od 654.381,00 eura.  </w:t>
      </w:r>
    </w:p>
    <w:p w14:paraId="1BD9A3E2" w14:textId="0F2404CC" w:rsidR="0011324C" w:rsidRPr="0011324C" w:rsidRDefault="0011324C" w:rsidP="0011324C">
      <w:pPr>
        <w:spacing w:after="130" w:line="268" w:lineRule="auto"/>
        <w:ind w:left="389" w:hanging="9"/>
        <w:jc w:val="both"/>
      </w:pPr>
      <w:r w:rsidRPr="0011324C">
        <w:rPr>
          <w:rFonts w:ascii="Arial" w:eastAsia="Arial" w:hAnsi="Arial" w:cs="Arial"/>
        </w:rPr>
        <w:t xml:space="preserve">Aktivnost A100301 Održavanje zgrada povećava se za iznos od 14.327,00 eura i to zbog povećanja cijene energije (plin, peleti, struja), zatim zbog povećanja cijena komunalnih usluga (smeće, voda, fekalije), te zbog </w:t>
      </w:r>
      <w:r w:rsidR="00E838BA">
        <w:rPr>
          <w:rFonts w:ascii="Arial" w:eastAsia="Arial" w:hAnsi="Arial" w:cs="Arial"/>
        </w:rPr>
        <w:t xml:space="preserve">planiranog </w:t>
      </w:r>
      <w:r w:rsidRPr="0011324C">
        <w:rPr>
          <w:rFonts w:ascii="Arial" w:eastAsia="Arial" w:hAnsi="Arial" w:cs="Arial"/>
        </w:rPr>
        <w:t>većeg tekućeg i investicijskog ulaganja u zgrade u vlasništvu Općine (</w:t>
      </w:r>
      <w:r w:rsidR="00E838BA">
        <w:rPr>
          <w:rFonts w:ascii="Arial" w:eastAsia="Arial" w:hAnsi="Arial" w:cs="Arial"/>
        </w:rPr>
        <w:t>servisiranja kamera, zamjene oštećene zidne ploče na zgradi općine, servis zidnih plinskih kondenzacijskih uređaja…</w:t>
      </w:r>
      <w:r w:rsidRPr="0011324C">
        <w:rPr>
          <w:rFonts w:ascii="Arial" w:eastAsia="Arial" w:hAnsi="Arial" w:cs="Arial"/>
        </w:rPr>
        <w:t>)</w:t>
      </w:r>
    </w:p>
    <w:p w14:paraId="0770E85A" w14:textId="77777777" w:rsidR="0011324C" w:rsidRPr="0011324C" w:rsidRDefault="0011324C" w:rsidP="0011324C">
      <w:pPr>
        <w:spacing w:after="130" w:line="268" w:lineRule="auto"/>
        <w:ind w:left="389" w:hanging="9"/>
        <w:jc w:val="both"/>
      </w:pPr>
      <w:r w:rsidRPr="0011324C">
        <w:rPr>
          <w:rFonts w:ascii="Arial" w:eastAsia="Arial" w:hAnsi="Arial" w:cs="Arial"/>
        </w:rPr>
        <w:t xml:space="preserve">Aktivnost A100302 – Održavanje vozila povećava se za iznos od 700,00 eura zbog povećane cijene energenata. </w:t>
      </w:r>
    </w:p>
    <w:p w14:paraId="118E709B" w14:textId="77777777" w:rsidR="0011324C" w:rsidRPr="0011324C" w:rsidRDefault="0011324C" w:rsidP="0011324C">
      <w:pPr>
        <w:spacing w:after="130" w:line="268" w:lineRule="auto"/>
        <w:ind w:left="389" w:hanging="9"/>
        <w:jc w:val="both"/>
      </w:pPr>
      <w:r w:rsidRPr="0011324C">
        <w:rPr>
          <w:rFonts w:ascii="Arial" w:eastAsia="Arial" w:hAnsi="Arial" w:cs="Arial"/>
          <w:b/>
          <w:bCs/>
        </w:rPr>
        <w:t>Kapitalni projekt K100301 – Građenje i dodatna ulaganja na zgradama</w:t>
      </w:r>
      <w:r w:rsidRPr="0011324C">
        <w:rPr>
          <w:rFonts w:ascii="Arial" w:eastAsia="Arial" w:hAnsi="Arial" w:cs="Arial"/>
        </w:rPr>
        <w:t xml:space="preserve"> smanjuje se za iznos od 100.000,00 eura zbog otvaranja novog </w:t>
      </w:r>
      <w:r w:rsidRPr="0011324C">
        <w:rPr>
          <w:rFonts w:ascii="Arial" w:eastAsia="Arial" w:hAnsi="Arial" w:cs="Arial"/>
          <w:b/>
          <w:bCs/>
        </w:rPr>
        <w:t>Kapitalnog projekta K100321 – Uređenje doma kulture u</w:t>
      </w:r>
      <w:r w:rsidRPr="0011324C">
        <w:rPr>
          <w:rFonts w:ascii="Arial" w:eastAsia="Arial" w:hAnsi="Arial" w:cs="Arial"/>
        </w:rPr>
        <w:t xml:space="preserve"> </w:t>
      </w:r>
      <w:r w:rsidRPr="0011324C">
        <w:rPr>
          <w:rFonts w:ascii="Arial" w:eastAsia="Arial" w:hAnsi="Arial" w:cs="Arial"/>
          <w:b/>
          <w:bCs/>
        </w:rPr>
        <w:t>Dražicama</w:t>
      </w:r>
      <w:r w:rsidRPr="0011324C">
        <w:rPr>
          <w:rFonts w:ascii="Arial" w:eastAsia="Arial" w:hAnsi="Arial" w:cs="Arial"/>
        </w:rPr>
        <w:t xml:space="preserve"> čime se transparentnije prikazuje trošenje proračunskih sredstva. </w:t>
      </w:r>
    </w:p>
    <w:p w14:paraId="2082AEB8" w14:textId="5B96C9B3" w:rsidR="0011324C" w:rsidRPr="0011324C" w:rsidRDefault="0011324C" w:rsidP="0011324C">
      <w:pPr>
        <w:spacing w:after="130" w:line="268" w:lineRule="auto"/>
        <w:ind w:left="389" w:hanging="9"/>
        <w:jc w:val="both"/>
        <w:rPr>
          <w:rFonts w:ascii="Arial" w:eastAsia="Arial" w:hAnsi="Arial" w:cs="Arial"/>
        </w:rPr>
      </w:pPr>
      <w:r w:rsidRPr="0011324C">
        <w:rPr>
          <w:rFonts w:ascii="Arial" w:eastAsia="Arial" w:hAnsi="Arial" w:cs="Arial"/>
        </w:rPr>
        <w:t xml:space="preserve">Unutar </w:t>
      </w:r>
      <w:r w:rsidRPr="0011324C">
        <w:rPr>
          <w:rFonts w:ascii="Arial" w:eastAsia="Arial" w:hAnsi="Arial" w:cs="Arial"/>
          <w:b/>
        </w:rPr>
        <w:t>Kapitalnog projekta K100302 - Nabava pokretne dugotrajne imovine</w:t>
      </w:r>
      <w:r w:rsidRPr="0011324C">
        <w:rPr>
          <w:rFonts w:ascii="Arial" w:eastAsia="Arial" w:hAnsi="Arial" w:cs="Arial"/>
        </w:rPr>
        <w:t xml:space="preserve"> dolazi do povećanja za iznos od 1.000,00 eura  kako bi se zam</w:t>
      </w:r>
      <w:r w:rsidR="00E838BA">
        <w:rPr>
          <w:rFonts w:ascii="Arial" w:eastAsia="Arial" w:hAnsi="Arial" w:cs="Arial"/>
        </w:rPr>
        <w:t>i</w:t>
      </w:r>
      <w:r w:rsidRPr="0011324C">
        <w:rPr>
          <w:rFonts w:ascii="Arial" w:eastAsia="Arial" w:hAnsi="Arial" w:cs="Arial"/>
        </w:rPr>
        <w:t xml:space="preserve">jenio postojeći led ekran na Trgu </w:t>
      </w:r>
      <w:proofErr w:type="spellStart"/>
      <w:r w:rsidRPr="0011324C">
        <w:rPr>
          <w:rFonts w:ascii="Arial" w:eastAsia="Arial" w:hAnsi="Arial" w:cs="Arial"/>
        </w:rPr>
        <w:t>Mlikarice</w:t>
      </w:r>
      <w:proofErr w:type="spellEnd"/>
      <w:r w:rsidRPr="0011324C">
        <w:rPr>
          <w:rFonts w:ascii="Arial" w:eastAsia="Arial" w:hAnsi="Arial" w:cs="Arial"/>
        </w:rPr>
        <w:t xml:space="preserve"> u Dražicama. </w:t>
      </w:r>
    </w:p>
    <w:p w14:paraId="50759C77" w14:textId="0EC1075B" w:rsidR="0011324C" w:rsidRDefault="0011324C" w:rsidP="0011324C">
      <w:pPr>
        <w:spacing w:after="130" w:line="268" w:lineRule="auto"/>
        <w:ind w:left="389" w:hanging="9"/>
        <w:jc w:val="both"/>
      </w:pPr>
      <w:r w:rsidRPr="0011324C">
        <w:rPr>
          <w:rFonts w:ascii="Arial" w:eastAsia="Arial" w:hAnsi="Arial" w:cs="Arial"/>
          <w:b/>
          <w:bCs/>
        </w:rPr>
        <w:t>Kapitalni projekt K100306- Registar nekretnina</w:t>
      </w:r>
      <w:r w:rsidRPr="0011324C">
        <w:rPr>
          <w:rFonts w:ascii="Arial" w:eastAsia="Arial" w:hAnsi="Arial" w:cs="Arial"/>
        </w:rPr>
        <w:t xml:space="preserve"> – povećava se za 3.000,00 eura</w:t>
      </w:r>
      <w:r w:rsidR="00E838BA">
        <w:rPr>
          <w:rFonts w:ascii="Arial" w:eastAsia="Arial" w:hAnsi="Arial" w:cs="Arial"/>
        </w:rPr>
        <w:t xml:space="preserve"> zbog potrebe dodatnog angažiranja suradnika za </w:t>
      </w:r>
      <w:r w:rsidRPr="0011324C">
        <w:rPr>
          <w:rFonts w:ascii="Arial" w:eastAsia="Arial" w:hAnsi="Arial" w:cs="Arial"/>
        </w:rPr>
        <w:t>izrad</w:t>
      </w:r>
      <w:r w:rsidR="00E838BA">
        <w:rPr>
          <w:rFonts w:ascii="Arial" w:eastAsia="Arial" w:hAnsi="Arial" w:cs="Arial"/>
        </w:rPr>
        <w:t>u</w:t>
      </w:r>
      <w:r w:rsidRPr="0011324C">
        <w:rPr>
          <w:rFonts w:ascii="Arial" w:eastAsia="Arial" w:hAnsi="Arial" w:cs="Arial"/>
        </w:rPr>
        <w:t xml:space="preserve"> revizije i prijenos</w:t>
      </w:r>
      <w:r w:rsidR="002F7872">
        <w:rPr>
          <w:rFonts w:ascii="Arial" w:eastAsia="Arial" w:hAnsi="Arial" w:cs="Arial"/>
        </w:rPr>
        <w:t>a</w:t>
      </w:r>
      <w:r w:rsidRPr="0011324C">
        <w:rPr>
          <w:rFonts w:ascii="Arial" w:eastAsia="Arial" w:hAnsi="Arial" w:cs="Arial"/>
        </w:rPr>
        <w:t xml:space="preserve"> podataka u S</w:t>
      </w:r>
      <w:r w:rsidR="00E838BA">
        <w:rPr>
          <w:rFonts w:ascii="Arial" w:eastAsia="Arial" w:hAnsi="Arial" w:cs="Arial"/>
        </w:rPr>
        <w:t xml:space="preserve">redišnji </w:t>
      </w:r>
      <w:r w:rsidRPr="0011324C">
        <w:rPr>
          <w:rFonts w:ascii="Arial" w:eastAsia="Arial" w:hAnsi="Arial" w:cs="Arial"/>
        </w:rPr>
        <w:t>R</w:t>
      </w:r>
      <w:r w:rsidR="00E838BA">
        <w:rPr>
          <w:rFonts w:ascii="Arial" w:eastAsia="Arial" w:hAnsi="Arial" w:cs="Arial"/>
        </w:rPr>
        <w:t xml:space="preserve">egistar </w:t>
      </w:r>
      <w:r w:rsidRPr="0011324C">
        <w:rPr>
          <w:rFonts w:ascii="Arial" w:eastAsia="Arial" w:hAnsi="Arial" w:cs="Arial"/>
        </w:rPr>
        <w:t>D</w:t>
      </w:r>
      <w:r w:rsidR="00E838BA">
        <w:rPr>
          <w:rFonts w:ascii="Arial" w:eastAsia="Arial" w:hAnsi="Arial" w:cs="Arial"/>
        </w:rPr>
        <w:t xml:space="preserve">ržavne </w:t>
      </w:r>
      <w:r w:rsidRPr="0011324C">
        <w:rPr>
          <w:rFonts w:ascii="Arial" w:eastAsia="Arial" w:hAnsi="Arial" w:cs="Arial"/>
        </w:rPr>
        <w:t>I</w:t>
      </w:r>
      <w:r w:rsidR="00E838BA">
        <w:rPr>
          <w:rFonts w:ascii="Arial" w:eastAsia="Arial" w:hAnsi="Arial" w:cs="Arial"/>
        </w:rPr>
        <w:t>movine</w:t>
      </w:r>
      <w:r w:rsidRPr="0011324C">
        <w:rPr>
          <w:rFonts w:ascii="Arial" w:eastAsia="Arial" w:hAnsi="Arial" w:cs="Arial"/>
        </w:rPr>
        <w:t>.</w:t>
      </w:r>
    </w:p>
    <w:p w14:paraId="4B004FFB" w14:textId="0EB06354" w:rsidR="0011324C" w:rsidRPr="00835DEC" w:rsidRDefault="0011324C" w:rsidP="0011324C">
      <w:pPr>
        <w:spacing w:after="130" w:line="268" w:lineRule="auto"/>
        <w:ind w:left="389" w:hanging="9"/>
        <w:jc w:val="both"/>
        <w:rPr>
          <w:color w:val="auto"/>
        </w:rPr>
      </w:pPr>
      <w:r w:rsidRPr="00835DEC">
        <w:rPr>
          <w:rFonts w:ascii="Arial" w:eastAsia="Arial" w:hAnsi="Arial" w:cs="Arial"/>
          <w:b/>
          <w:color w:val="auto"/>
        </w:rPr>
        <w:t xml:space="preserve">Kapitalni projekt K100314 – Proširenje zgrade vrtića </w:t>
      </w:r>
      <w:r w:rsidRPr="00835DEC">
        <w:rPr>
          <w:rFonts w:ascii="Arial" w:eastAsia="Arial" w:hAnsi="Arial" w:cs="Arial"/>
          <w:color w:val="auto"/>
        </w:rPr>
        <w:t xml:space="preserve">povećava se za iznos od 7.000,00 eura na ime </w:t>
      </w:r>
      <w:r w:rsidR="002F7872" w:rsidRPr="00835DEC">
        <w:rPr>
          <w:rFonts w:ascii="Arial" w:eastAsia="Arial" w:hAnsi="Arial" w:cs="Arial"/>
          <w:color w:val="auto"/>
        </w:rPr>
        <w:t xml:space="preserve">dopune </w:t>
      </w:r>
      <w:r w:rsidRPr="00835DEC">
        <w:rPr>
          <w:rFonts w:ascii="Arial" w:eastAsia="Arial" w:hAnsi="Arial" w:cs="Arial"/>
          <w:color w:val="auto"/>
        </w:rPr>
        <w:t>projektn</w:t>
      </w:r>
      <w:r w:rsidR="002F7872" w:rsidRPr="00835DEC">
        <w:rPr>
          <w:rFonts w:ascii="Arial" w:eastAsia="Arial" w:hAnsi="Arial" w:cs="Arial"/>
          <w:color w:val="auto"/>
        </w:rPr>
        <w:t>e</w:t>
      </w:r>
      <w:r w:rsidRPr="00835DEC">
        <w:rPr>
          <w:rFonts w:ascii="Arial" w:eastAsia="Arial" w:hAnsi="Arial" w:cs="Arial"/>
          <w:color w:val="auto"/>
        </w:rPr>
        <w:t xml:space="preserve"> dokumentacij</w:t>
      </w:r>
      <w:r w:rsidR="002F7872" w:rsidRPr="00835DEC">
        <w:rPr>
          <w:rFonts w:ascii="Arial" w:eastAsia="Arial" w:hAnsi="Arial" w:cs="Arial"/>
          <w:color w:val="auto"/>
        </w:rPr>
        <w:t>e</w:t>
      </w:r>
      <w:r w:rsidR="00741388" w:rsidRPr="00835DEC">
        <w:rPr>
          <w:rFonts w:ascii="Arial" w:eastAsia="Arial" w:hAnsi="Arial" w:cs="Arial"/>
          <w:color w:val="auto"/>
        </w:rPr>
        <w:t>.</w:t>
      </w:r>
      <w:r w:rsidRPr="00835DEC">
        <w:rPr>
          <w:rFonts w:ascii="Arial" w:eastAsia="Arial" w:hAnsi="Arial" w:cs="Arial"/>
          <w:color w:val="auto"/>
        </w:rPr>
        <w:t xml:space="preserve"> </w:t>
      </w:r>
    </w:p>
    <w:p w14:paraId="2E5FFFE1" w14:textId="1FA57910" w:rsidR="0016105D" w:rsidRPr="0016105D" w:rsidRDefault="0011324C" w:rsidP="0016105D">
      <w:pPr>
        <w:spacing w:after="130" w:line="268" w:lineRule="auto"/>
        <w:ind w:left="389" w:hanging="9"/>
        <w:jc w:val="both"/>
        <w:rPr>
          <w:rFonts w:ascii="Arial" w:eastAsia="Arial" w:hAnsi="Arial" w:cs="Arial"/>
          <w:bCs/>
          <w:color w:val="auto"/>
        </w:rPr>
      </w:pPr>
      <w:r w:rsidRPr="00835DEC">
        <w:rPr>
          <w:rFonts w:ascii="Arial" w:eastAsia="Arial" w:hAnsi="Arial" w:cs="Arial"/>
          <w:b/>
          <w:color w:val="auto"/>
        </w:rPr>
        <w:t xml:space="preserve">Kapitalni projekt K100319 – Poduzetnički inkubator </w:t>
      </w:r>
      <w:r w:rsidRPr="00835DEC">
        <w:rPr>
          <w:rFonts w:ascii="Arial" w:eastAsia="Arial" w:hAnsi="Arial" w:cs="Arial"/>
          <w:bCs/>
          <w:color w:val="auto"/>
        </w:rPr>
        <w:t xml:space="preserve">– </w:t>
      </w:r>
      <w:r w:rsidR="00835DEC" w:rsidRPr="00835DEC">
        <w:rPr>
          <w:rFonts w:ascii="Arial" w:eastAsia="Arial" w:hAnsi="Arial" w:cs="Arial"/>
          <w:bCs/>
          <w:color w:val="auto"/>
        </w:rPr>
        <w:t xml:space="preserve">kako se u procesu razvijanja projekata za ITU, kojih je i projekt Poduzetničkog inkubatora bio dio, odlučilo sva sredstva preusmjeriti na realizaciju projekta I dalje zajedno 65+, u ovoj godini planira se za projekt Poduzetničkog inkubatora realizirati samo projektna dokumentacija kako bi bio spreman za prijavu na druge javne pozive u 2024. </w:t>
      </w:r>
      <w:r w:rsidR="0016105D">
        <w:rPr>
          <w:rFonts w:ascii="Arial" w:eastAsia="Arial" w:hAnsi="Arial" w:cs="Arial"/>
          <w:bCs/>
          <w:color w:val="auto"/>
        </w:rPr>
        <w:t xml:space="preserve">pri čemu je planirani trošak smanjen za </w:t>
      </w:r>
      <w:r w:rsidR="0016105D" w:rsidRPr="0016105D">
        <w:rPr>
          <w:rFonts w:ascii="Arial" w:eastAsia="Arial" w:hAnsi="Arial" w:cs="Arial"/>
          <w:bCs/>
          <w:color w:val="auto"/>
        </w:rPr>
        <w:t>795.408</w:t>
      </w:r>
      <w:r w:rsidR="0016105D">
        <w:rPr>
          <w:rFonts w:ascii="Arial" w:eastAsia="Arial" w:hAnsi="Arial" w:cs="Arial"/>
          <w:bCs/>
          <w:color w:val="auto"/>
        </w:rPr>
        <w:t xml:space="preserve"> eura na </w:t>
      </w:r>
      <w:r w:rsidR="0016105D" w:rsidRPr="0016105D">
        <w:rPr>
          <w:rFonts w:ascii="Arial" w:eastAsia="Arial" w:hAnsi="Arial" w:cs="Arial"/>
          <w:bCs/>
          <w:color w:val="auto"/>
        </w:rPr>
        <w:t>26.000</w:t>
      </w:r>
      <w:r w:rsidR="0016105D">
        <w:rPr>
          <w:rFonts w:ascii="Arial" w:eastAsia="Arial" w:hAnsi="Arial" w:cs="Arial"/>
          <w:bCs/>
          <w:color w:val="auto"/>
        </w:rPr>
        <w:t>,</w:t>
      </w:r>
      <w:r w:rsidR="0016105D" w:rsidRPr="0016105D">
        <w:rPr>
          <w:rFonts w:ascii="Arial" w:eastAsia="Arial" w:hAnsi="Arial" w:cs="Arial"/>
          <w:bCs/>
          <w:color w:val="auto"/>
        </w:rPr>
        <w:t>0</w:t>
      </w:r>
      <w:r w:rsidR="0016105D">
        <w:rPr>
          <w:rFonts w:ascii="Arial" w:eastAsia="Arial" w:hAnsi="Arial" w:cs="Arial"/>
          <w:bCs/>
          <w:color w:val="auto"/>
        </w:rPr>
        <w:t>0 eura.</w:t>
      </w:r>
    </w:p>
    <w:p w14:paraId="08112031" w14:textId="06FC942B" w:rsidR="0011324C" w:rsidRPr="0011324C" w:rsidRDefault="0011324C" w:rsidP="0011324C">
      <w:pPr>
        <w:spacing w:after="130" w:line="268" w:lineRule="auto"/>
        <w:ind w:left="389" w:hanging="9"/>
        <w:jc w:val="both"/>
        <w:rPr>
          <w:rFonts w:ascii="Arial" w:hAnsi="Arial" w:cs="Arial"/>
          <w:color w:val="000000" w:themeColor="text1"/>
        </w:rPr>
      </w:pPr>
      <w:r w:rsidRPr="0011324C">
        <w:rPr>
          <w:rFonts w:ascii="Arial" w:eastAsia="Arial" w:hAnsi="Arial" w:cs="Arial"/>
          <w:bCs/>
          <w:color w:val="000000" w:themeColor="text1"/>
        </w:rPr>
        <w:t>Otvoren je novi</w:t>
      </w:r>
      <w:r w:rsidRPr="0011324C">
        <w:rPr>
          <w:rFonts w:ascii="Arial" w:eastAsia="Arial" w:hAnsi="Arial" w:cs="Arial"/>
          <w:b/>
          <w:color w:val="000000" w:themeColor="text1"/>
        </w:rPr>
        <w:t xml:space="preserve"> Kapitalni projekt K100322 –</w:t>
      </w:r>
      <w:r w:rsidRPr="0011324C">
        <w:rPr>
          <w:rFonts w:ascii="Arial" w:hAnsi="Arial" w:cs="Arial"/>
          <w:color w:val="000000" w:themeColor="text1"/>
        </w:rPr>
        <w:t xml:space="preserve"> </w:t>
      </w:r>
      <w:r w:rsidRPr="0011324C">
        <w:rPr>
          <w:rFonts w:ascii="Arial" w:hAnsi="Arial" w:cs="Arial"/>
          <w:b/>
          <w:bCs/>
          <w:color w:val="000000" w:themeColor="text1"/>
        </w:rPr>
        <w:t>Prenamjena poslovne zgrade u Podhumu</w:t>
      </w:r>
      <w:r w:rsidRPr="0011324C">
        <w:rPr>
          <w:rFonts w:ascii="Arial" w:hAnsi="Arial" w:cs="Arial"/>
          <w:color w:val="000000" w:themeColor="text1"/>
        </w:rPr>
        <w:t xml:space="preserve">, za čiju je realizaciju planiran iznos od 35.000,00 </w:t>
      </w:r>
      <w:r w:rsidR="00835DEC">
        <w:rPr>
          <w:rFonts w:ascii="Arial" w:hAnsi="Arial" w:cs="Arial"/>
          <w:color w:val="000000" w:themeColor="text1"/>
        </w:rPr>
        <w:t xml:space="preserve">eura, </w:t>
      </w:r>
      <w:r w:rsidRPr="0011324C">
        <w:rPr>
          <w:rFonts w:ascii="Arial" w:hAnsi="Arial" w:cs="Arial"/>
          <w:color w:val="000000" w:themeColor="text1"/>
        </w:rPr>
        <w:t>kako bi se djeci koja pohađaju dječji vrtić u Podhumu tijekom ljetnih mjeseci, a za vrijeme radova na samom vrtiću, omogućio adekvatan smještaj.</w:t>
      </w:r>
    </w:p>
    <w:p w14:paraId="140CB4F2" w14:textId="417DCEDC" w:rsidR="0011324C" w:rsidRPr="0011324C" w:rsidRDefault="0011324C" w:rsidP="0011324C">
      <w:pPr>
        <w:spacing w:after="130" w:line="268" w:lineRule="auto"/>
        <w:ind w:left="389" w:hanging="9"/>
        <w:jc w:val="both"/>
        <w:rPr>
          <w:rFonts w:ascii="Arial" w:hAnsi="Arial" w:cs="Arial"/>
          <w:color w:val="000000" w:themeColor="text1"/>
        </w:rPr>
      </w:pPr>
      <w:r w:rsidRPr="0011324C">
        <w:rPr>
          <w:rFonts w:ascii="Arial" w:eastAsia="Arial" w:hAnsi="Arial" w:cs="Arial"/>
          <w:bCs/>
          <w:color w:val="000000" w:themeColor="text1"/>
        </w:rPr>
        <w:t xml:space="preserve">Također je otvoren i </w:t>
      </w:r>
      <w:r w:rsidRPr="0016105D">
        <w:rPr>
          <w:rFonts w:ascii="Arial" w:eastAsia="Arial" w:hAnsi="Arial" w:cs="Arial"/>
          <w:b/>
          <w:color w:val="000000" w:themeColor="text1"/>
        </w:rPr>
        <w:t xml:space="preserve">Kapitalni projekt </w:t>
      </w:r>
      <w:r w:rsidR="0016105D" w:rsidRPr="0016105D">
        <w:rPr>
          <w:rFonts w:ascii="Arial" w:eastAsia="Arial" w:hAnsi="Arial" w:cs="Arial"/>
          <w:b/>
          <w:color w:val="000000" w:themeColor="text1"/>
        </w:rPr>
        <w:t>K100323</w:t>
      </w:r>
      <w:r w:rsidR="0016105D">
        <w:rPr>
          <w:rFonts w:ascii="Arial" w:eastAsia="Arial" w:hAnsi="Arial" w:cs="Arial"/>
          <w:b/>
          <w:color w:val="000000" w:themeColor="text1"/>
        </w:rPr>
        <w:t xml:space="preserve"> </w:t>
      </w:r>
      <w:r w:rsidRPr="0016105D">
        <w:rPr>
          <w:rFonts w:ascii="Arial" w:eastAsia="Arial" w:hAnsi="Arial" w:cs="Arial"/>
          <w:b/>
          <w:color w:val="000000" w:themeColor="text1"/>
        </w:rPr>
        <w:t xml:space="preserve">– Dogradnja drvarnice i uređenja okoliša Planinarskog doma </w:t>
      </w:r>
      <w:proofErr w:type="spellStart"/>
      <w:r w:rsidRPr="0016105D">
        <w:rPr>
          <w:rFonts w:ascii="Arial" w:eastAsia="Arial" w:hAnsi="Arial" w:cs="Arial"/>
          <w:b/>
          <w:color w:val="000000" w:themeColor="text1"/>
        </w:rPr>
        <w:t>Hahlić</w:t>
      </w:r>
      <w:proofErr w:type="spellEnd"/>
      <w:r w:rsidRPr="0011324C">
        <w:rPr>
          <w:rFonts w:ascii="Arial" w:eastAsia="Arial" w:hAnsi="Arial" w:cs="Arial"/>
          <w:bCs/>
          <w:color w:val="000000" w:themeColor="text1"/>
        </w:rPr>
        <w:t>, za čiju je realizaciju planiran iznos od 65.000,00 eura.</w:t>
      </w:r>
    </w:p>
    <w:p w14:paraId="468663C8" w14:textId="682469D3" w:rsidR="0011324C" w:rsidRPr="0011324C" w:rsidRDefault="0011324C" w:rsidP="0011324C">
      <w:pPr>
        <w:spacing w:after="131" w:line="268" w:lineRule="auto"/>
        <w:ind w:left="389" w:hanging="9"/>
        <w:jc w:val="both"/>
      </w:pPr>
      <w:r w:rsidRPr="0011324C">
        <w:rPr>
          <w:rFonts w:ascii="Arial" w:eastAsia="Arial" w:hAnsi="Arial" w:cs="Arial"/>
        </w:rPr>
        <w:t>Unutar</w:t>
      </w:r>
      <w:r w:rsidRPr="0011324C">
        <w:rPr>
          <w:rFonts w:ascii="Arial" w:eastAsia="Arial" w:hAnsi="Arial" w:cs="Arial"/>
          <w:b/>
        </w:rPr>
        <w:t xml:space="preserve"> PROGRAMA – Organiziranje i provođenje zaštite i spašavanja, </w:t>
      </w:r>
      <w:r w:rsidRPr="0011324C">
        <w:rPr>
          <w:rFonts w:ascii="Arial" w:eastAsia="Arial" w:hAnsi="Arial" w:cs="Arial"/>
        </w:rPr>
        <w:t xml:space="preserve"> dolazi do povećanja za 8.229,00 eura</w:t>
      </w:r>
      <w:r w:rsidR="002F7872">
        <w:rPr>
          <w:rFonts w:ascii="Arial" w:eastAsia="Arial" w:hAnsi="Arial" w:cs="Arial"/>
        </w:rPr>
        <w:t xml:space="preserve"> zbog potrebe izrade </w:t>
      </w:r>
      <w:r w:rsidR="006E17DF">
        <w:rPr>
          <w:rFonts w:ascii="Arial" w:eastAsia="Arial" w:hAnsi="Arial" w:cs="Arial"/>
        </w:rPr>
        <w:t xml:space="preserve">provedbenog </w:t>
      </w:r>
      <w:r w:rsidRPr="0011324C">
        <w:rPr>
          <w:rFonts w:ascii="Arial" w:eastAsia="Arial" w:hAnsi="Arial" w:cs="Arial"/>
        </w:rPr>
        <w:t>plan</w:t>
      </w:r>
      <w:r w:rsidR="002F7872">
        <w:rPr>
          <w:rFonts w:ascii="Arial" w:eastAsia="Arial" w:hAnsi="Arial" w:cs="Arial"/>
        </w:rPr>
        <w:t>a</w:t>
      </w:r>
      <w:r w:rsidRPr="0011324C">
        <w:rPr>
          <w:rFonts w:ascii="Arial" w:eastAsia="Arial" w:hAnsi="Arial" w:cs="Arial"/>
        </w:rPr>
        <w:t xml:space="preserve"> procjene</w:t>
      </w:r>
      <w:r w:rsidR="006E17DF">
        <w:rPr>
          <w:rFonts w:ascii="Arial" w:eastAsia="Arial" w:hAnsi="Arial" w:cs="Arial"/>
        </w:rPr>
        <w:t xml:space="preserve"> zaštite od požara</w:t>
      </w:r>
      <w:r w:rsidRPr="0011324C">
        <w:rPr>
          <w:rFonts w:ascii="Arial" w:eastAsia="Arial" w:hAnsi="Arial" w:cs="Arial"/>
        </w:rPr>
        <w:t>, te kupnj</w:t>
      </w:r>
      <w:r w:rsidR="006E17DF">
        <w:rPr>
          <w:rFonts w:ascii="Arial" w:eastAsia="Arial" w:hAnsi="Arial" w:cs="Arial"/>
        </w:rPr>
        <w:t>e</w:t>
      </w:r>
      <w:r w:rsidRPr="0011324C">
        <w:rPr>
          <w:rFonts w:ascii="Arial" w:eastAsia="Arial" w:hAnsi="Arial" w:cs="Arial"/>
        </w:rPr>
        <w:t xml:space="preserve"> šatora za potrebe civilne zaštite općine Jelenje. </w:t>
      </w:r>
    </w:p>
    <w:p w14:paraId="2CAECE84" w14:textId="3BD0770D" w:rsidR="0011324C" w:rsidRPr="0016105D" w:rsidRDefault="0011324C" w:rsidP="0011324C">
      <w:pPr>
        <w:pStyle w:val="StandardWeb"/>
        <w:shd w:val="clear" w:color="auto" w:fill="FFFFFF"/>
        <w:spacing w:before="0" w:beforeAutospacing="0" w:after="30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474D79">
        <w:rPr>
          <w:rFonts w:ascii="Arial" w:eastAsia="Arial" w:hAnsi="Arial" w:cs="Arial"/>
          <w:sz w:val="22"/>
          <w:szCs w:val="22"/>
          <w:lang w:val="hr-HR"/>
        </w:rPr>
        <w:t xml:space="preserve">       </w:t>
      </w:r>
      <w:r w:rsidRPr="00474D79">
        <w:rPr>
          <w:rFonts w:ascii="Arial" w:eastAsia="Arial" w:hAnsi="Arial" w:cs="Arial"/>
          <w:sz w:val="22"/>
          <w:szCs w:val="22"/>
          <w:lang w:val="pl-PL"/>
        </w:rPr>
        <w:t>Unutar</w:t>
      </w:r>
      <w:r w:rsidRPr="00474D79">
        <w:rPr>
          <w:rFonts w:ascii="Arial" w:eastAsia="Arial" w:hAnsi="Arial" w:cs="Arial"/>
          <w:b/>
          <w:sz w:val="22"/>
          <w:szCs w:val="22"/>
          <w:lang w:val="pl-PL"/>
        </w:rPr>
        <w:t xml:space="preserve"> PROGRAMA – Jačanje gospodarstva </w:t>
      </w:r>
      <w:r w:rsidRPr="00474D79">
        <w:rPr>
          <w:rFonts w:ascii="Arial" w:eastAsia="Arial" w:hAnsi="Arial" w:cs="Arial"/>
          <w:sz w:val="22"/>
          <w:szCs w:val="22"/>
          <w:lang w:val="pl-PL"/>
        </w:rPr>
        <w:t>dolazi do povećanja u iznosu od 12.000,00</w:t>
      </w:r>
      <w:r w:rsidR="0016105D">
        <w:rPr>
          <w:rFonts w:ascii="Arial" w:eastAsia="Arial" w:hAnsi="Arial" w:cs="Arial"/>
          <w:sz w:val="22"/>
          <w:szCs w:val="22"/>
          <w:lang w:val="pl-PL"/>
        </w:rPr>
        <w:t xml:space="preserve"> eura</w:t>
      </w:r>
      <w:r w:rsidRPr="00474D79">
        <w:rPr>
          <w:rFonts w:ascii="Arial" w:eastAsia="Arial" w:hAnsi="Arial" w:cs="Arial"/>
          <w:sz w:val="22"/>
          <w:szCs w:val="22"/>
          <w:lang w:val="pl-PL"/>
        </w:rPr>
        <w:t xml:space="preserve">.   </w:t>
      </w:r>
      <w:r w:rsidR="0016105D">
        <w:rPr>
          <w:rFonts w:ascii="Arial" w:eastAsia="Arial" w:hAnsi="Arial" w:cs="Arial"/>
          <w:sz w:val="22"/>
          <w:szCs w:val="22"/>
          <w:lang w:val="pl-PL"/>
        </w:rPr>
        <w:t xml:space="preserve">Budući da </w:t>
      </w:r>
      <w:r w:rsidRPr="00474D79">
        <w:rPr>
          <w:rFonts w:ascii="Arial" w:hAnsi="Arial" w:cs="Arial"/>
          <w:color w:val="000000"/>
          <w:sz w:val="22"/>
          <w:szCs w:val="22"/>
          <w:lang w:val="pl-PL"/>
        </w:rPr>
        <w:t>Općin</w:t>
      </w:r>
      <w:r w:rsidR="0016105D">
        <w:rPr>
          <w:rFonts w:ascii="Arial" w:hAnsi="Arial" w:cs="Arial"/>
          <w:color w:val="000000"/>
          <w:sz w:val="22"/>
          <w:szCs w:val="22"/>
          <w:lang w:val="pl-PL"/>
        </w:rPr>
        <w:t>a</w:t>
      </w:r>
      <w:r w:rsidRPr="00474D79">
        <w:rPr>
          <w:rFonts w:ascii="Arial" w:hAnsi="Arial" w:cs="Arial"/>
          <w:color w:val="000000"/>
          <w:sz w:val="22"/>
          <w:szCs w:val="22"/>
          <w:lang w:val="pl-PL"/>
        </w:rPr>
        <w:t xml:space="preserve"> Jelenje </w:t>
      </w:r>
      <w:r w:rsidR="0016105D">
        <w:rPr>
          <w:rFonts w:ascii="Arial" w:hAnsi="Arial" w:cs="Arial"/>
          <w:color w:val="000000"/>
          <w:sz w:val="22"/>
          <w:szCs w:val="22"/>
          <w:lang w:val="pl-PL"/>
        </w:rPr>
        <w:t xml:space="preserve">nije bila pristupila </w:t>
      </w:r>
      <w:r w:rsidRPr="00474D79">
        <w:rPr>
          <w:rFonts w:ascii="Arial" w:hAnsi="Arial" w:cs="Arial"/>
          <w:color w:val="000000"/>
          <w:sz w:val="22"/>
          <w:szCs w:val="22"/>
          <w:lang w:val="pl-PL"/>
        </w:rPr>
        <w:t xml:space="preserve">Urbanoj aglomeraciji (UA) </w:t>
      </w:r>
      <w:r w:rsidR="0016105D">
        <w:rPr>
          <w:rFonts w:ascii="Arial" w:hAnsi="Arial" w:cs="Arial"/>
          <w:color w:val="000000"/>
          <w:sz w:val="22"/>
          <w:szCs w:val="22"/>
          <w:lang w:val="pl-PL"/>
        </w:rPr>
        <w:t xml:space="preserve">2014. godine za razdoblje 2014. - 2020. </w:t>
      </w:r>
      <w:r w:rsidRPr="00474D79">
        <w:rPr>
          <w:rFonts w:ascii="Arial" w:hAnsi="Arial" w:cs="Arial"/>
          <w:color w:val="000000"/>
          <w:sz w:val="22"/>
          <w:szCs w:val="22"/>
          <w:lang w:val="pl-PL"/>
        </w:rPr>
        <w:t>propuštena je prilika da sukladno prostornim i strateškim dokumentima, projektima i programima bitnim za daljnji razvoj sudjelujemo u prijavljenim projektima, pa tako, primjerice, Autotrolej nije u našu općinu postavio display za najavu dolazaka i odlazaka autobusa,</w:t>
      </w:r>
      <w:r w:rsidRPr="00474D79">
        <w:rPr>
          <w:rFonts w:ascii="PT Sans" w:hAnsi="PT Sans"/>
          <w:color w:val="000000"/>
          <w:sz w:val="22"/>
          <w:szCs w:val="22"/>
          <w:lang w:val="pl-PL"/>
        </w:rPr>
        <w:t xml:space="preserve"> </w:t>
      </w:r>
      <w:r w:rsidRPr="0016105D">
        <w:rPr>
          <w:rFonts w:ascii="Arial" w:hAnsi="Arial" w:cs="Arial"/>
          <w:color w:val="000000"/>
          <w:sz w:val="22"/>
          <w:szCs w:val="22"/>
          <w:lang w:val="pl-PL"/>
        </w:rPr>
        <w:t xml:space="preserve">kojeg </w:t>
      </w:r>
      <w:r w:rsidR="006E17DF" w:rsidRPr="0016105D">
        <w:rPr>
          <w:rFonts w:ascii="Arial" w:hAnsi="Arial" w:cs="Arial"/>
          <w:color w:val="000000"/>
          <w:sz w:val="22"/>
          <w:szCs w:val="22"/>
          <w:lang w:val="pl-PL"/>
        </w:rPr>
        <w:t>Općina</w:t>
      </w:r>
      <w:r w:rsidRPr="0016105D">
        <w:rPr>
          <w:rFonts w:ascii="Arial" w:hAnsi="Arial" w:cs="Arial"/>
          <w:color w:val="000000"/>
          <w:sz w:val="22"/>
          <w:szCs w:val="22"/>
          <w:lang w:val="pl-PL"/>
        </w:rPr>
        <w:t xml:space="preserve"> planira sada postaviti.</w:t>
      </w:r>
    </w:p>
    <w:p w14:paraId="0B82B6C7" w14:textId="77777777" w:rsidR="0098598F" w:rsidRDefault="0011324C" w:rsidP="0098598F">
      <w:pPr>
        <w:pStyle w:val="StandardWeb"/>
        <w:shd w:val="clear" w:color="auto" w:fill="FFFFFF"/>
        <w:spacing w:before="0" w:beforeAutospacing="0" w:after="300" w:afterAutospacing="0"/>
        <w:ind w:left="426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474D79">
        <w:rPr>
          <w:rFonts w:ascii="Arial" w:eastAsia="Arial" w:hAnsi="Arial" w:cs="Arial"/>
          <w:b/>
          <w:bCs/>
          <w:sz w:val="22"/>
          <w:szCs w:val="22"/>
          <w:lang w:val="pl-PL"/>
        </w:rPr>
        <w:lastRenderedPageBreak/>
        <w:t>P</w:t>
      </w:r>
      <w:r w:rsidR="002E74D0" w:rsidRPr="00474D79">
        <w:rPr>
          <w:rFonts w:ascii="Arial" w:eastAsia="Arial" w:hAnsi="Arial" w:cs="Arial"/>
          <w:b/>
          <w:bCs/>
          <w:sz w:val="22"/>
          <w:szCs w:val="22"/>
          <w:lang w:val="pl-PL"/>
        </w:rPr>
        <w:t>ROGRAM</w:t>
      </w:r>
      <w:r w:rsidRPr="00474D79"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 –</w:t>
      </w:r>
      <w:r w:rsidRPr="00474D79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474D79">
        <w:rPr>
          <w:rFonts w:ascii="Arial" w:eastAsia="Arial" w:hAnsi="Arial" w:cs="Arial"/>
          <w:b/>
          <w:bCs/>
          <w:sz w:val="22"/>
          <w:szCs w:val="22"/>
          <w:lang w:val="pl-PL"/>
        </w:rPr>
        <w:t>Poticanje razvoja turizma</w:t>
      </w:r>
      <w:r w:rsidRPr="00474D79">
        <w:rPr>
          <w:rFonts w:ascii="Arial" w:eastAsia="Arial" w:hAnsi="Arial" w:cs="Arial"/>
          <w:sz w:val="22"/>
          <w:szCs w:val="22"/>
          <w:lang w:val="pl-PL"/>
        </w:rPr>
        <w:t xml:space="preserve"> povećava se za 13.548,00 eura. Zbog sve prisutne inflacije na tržištu, dolazi do povećanja cijena usluga i matrijala potrebnog za održavanje raznih manifestacija.</w:t>
      </w:r>
    </w:p>
    <w:p w14:paraId="23023B44" w14:textId="2A975ACA" w:rsidR="0011324C" w:rsidRPr="003A280B" w:rsidRDefault="0011324C" w:rsidP="0098598F">
      <w:pPr>
        <w:pStyle w:val="StandardWeb"/>
        <w:shd w:val="clear" w:color="auto" w:fill="FFFFFF"/>
        <w:spacing w:before="0" w:beforeAutospacing="0" w:after="300" w:afterAutospacing="0"/>
        <w:ind w:left="426"/>
        <w:jc w:val="both"/>
        <w:rPr>
          <w:sz w:val="22"/>
          <w:szCs w:val="22"/>
          <w:lang w:val="pl-PL"/>
        </w:rPr>
      </w:pPr>
      <w:r w:rsidRPr="00502EB5">
        <w:rPr>
          <w:rFonts w:ascii="Arial" w:eastAsia="Arial" w:hAnsi="Arial" w:cs="Arial"/>
          <w:sz w:val="22"/>
          <w:szCs w:val="22"/>
          <w:lang w:val="pl-PL"/>
        </w:rPr>
        <w:t>Unutar</w:t>
      </w:r>
      <w:r w:rsidRPr="00502EB5">
        <w:rPr>
          <w:rFonts w:ascii="Arial" w:eastAsia="Arial" w:hAnsi="Arial" w:cs="Arial"/>
          <w:b/>
          <w:sz w:val="22"/>
          <w:szCs w:val="22"/>
          <w:lang w:val="pl-PL"/>
        </w:rPr>
        <w:t xml:space="preserve"> PROGRAMA – Prostorno uređenje i unapređenje stanovanja </w:t>
      </w:r>
      <w:r w:rsidRPr="00502EB5">
        <w:rPr>
          <w:rFonts w:ascii="Arial" w:eastAsia="Arial" w:hAnsi="Arial" w:cs="Arial"/>
          <w:sz w:val="22"/>
          <w:szCs w:val="22"/>
          <w:lang w:val="pl-PL"/>
        </w:rPr>
        <w:t xml:space="preserve">dolazi do povećanja u iznosu od 1.000,00 eura </w:t>
      </w:r>
      <w:r w:rsidR="006E17DF" w:rsidRPr="00502EB5">
        <w:rPr>
          <w:rFonts w:ascii="Arial" w:eastAsia="Arial" w:hAnsi="Arial" w:cs="Arial"/>
          <w:sz w:val="22"/>
          <w:szCs w:val="22"/>
          <w:lang w:val="pl-PL"/>
        </w:rPr>
        <w:t xml:space="preserve">na ime novo otvorene pozicija – Usluge promidžbe i informiranja, </w:t>
      </w:r>
      <w:r w:rsidRPr="00502EB5">
        <w:rPr>
          <w:rFonts w:ascii="Arial" w:eastAsia="Arial" w:hAnsi="Arial" w:cs="Arial"/>
          <w:sz w:val="22"/>
          <w:szCs w:val="22"/>
          <w:lang w:val="pl-PL"/>
        </w:rPr>
        <w:t xml:space="preserve">zbog </w:t>
      </w:r>
      <w:r w:rsidR="006E17DF" w:rsidRPr="00502EB5">
        <w:rPr>
          <w:rFonts w:ascii="Arial" w:eastAsia="Arial" w:hAnsi="Arial" w:cs="Arial"/>
          <w:sz w:val="22"/>
          <w:szCs w:val="22"/>
          <w:lang w:val="pl-PL"/>
        </w:rPr>
        <w:t>potrebe objave dokumenata i transparentnijeg prikazivanja.</w:t>
      </w:r>
    </w:p>
    <w:p w14:paraId="24C61A57" w14:textId="1B70E43A" w:rsidR="00F50E47" w:rsidRDefault="0011324C" w:rsidP="0098598F">
      <w:pPr>
        <w:spacing w:after="128" w:line="268" w:lineRule="auto"/>
        <w:ind w:left="388" w:hanging="9"/>
        <w:jc w:val="both"/>
        <w:rPr>
          <w:rFonts w:ascii="Arial" w:eastAsia="Arial" w:hAnsi="Arial" w:cs="Arial"/>
        </w:rPr>
      </w:pPr>
      <w:r w:rsidRPr="0011324C">
        <w:rPr>
          <w:rFonts w:ascii="Arial" w:eastAsia="Arial" w:hAnsi="Arial" w:cs="Arial"/>
        </w:rPr>
        <w:t xml:space="preserve">Unutar </w:t>
      </w:r>
      <w:r w:rsidRPr="0011324C">
        <w:rPr>
          <w:rFonts w:ascii="Arial" w:eastAsia="Arial" w:hAnsi="Arial" w:cs="Arial"/>
          <w:b/>
        </w:rPr>
        <w:t xml:space="preserve">PROGRAMA </w:t>
      </w:r>
      <w:r w:rsidRPr="0011324C">
        <w:rPr>
          <w:rFonts w:ascii="Arial" w:eastAsia="Arial" w:hAnsi="Arial" w:cs="Arial"/>
        </w:rPr>
        <w:t xml:space="preserve">– </w:t>
      </w:r>
      <w:r w:rsidRPr="0011324C">
        <w:rPr>
          <w:rFonts w:ascii="Arial" w:eastAsia="Arial" w:hAnsi="Arial" w:cs="Arial"/>
          <w:b/>
        </w:rPr>
        <w:t>Izgradnja objekata i uređaja komunalne infrastrukture</w:t>
      </w:r>
      <w:r w:rsidRPr="0011324C">
        <w:rPr>
          <w:rFonts w:ascii="Arial" w:eastAsia="Arial" w:hAnsi="Arial" w:cs="Arial"/>
        </w:rPr>
        <w:t xml:space="preserve"> dolazi do povećanja i to za iznos od 16.500,00 eura</w:t>
      </w:r>
      <w:r w:rsidR="006E17DF">
        <w:rPr>
          <w:rFonts w:ascii="Arial" w:eastAsia="Arial" w:hAnsi="Arial" w:cs="Arial"/>
        </w:rPr>
        <w:t xml:space="preserve"> na ime ponovnog aktiviranja</w:t>
      </w:r>
      <w:r w:rsidRPr="0011324C">
        <w:rPr>
          <w:rFonts w:ascii="Arial" w:eastAsia="Arial" w:hAnsi="Arial" w:cs="Arial"/>
        </w:rPr>
        <w:t xml:space="preserve"> kapitalni</w:t>
      </w:r>
      <w:r w:rsidR="006E17DF">
        <w:rPr>
          <w:rFonts w:ascii="Arial" w:eastAsia="Arial" w:hAnsi="Arial" w:cs="Arial"/>
        </w:rPr>
        <w:t>h</w:t>
      </w:r>
      <w:r w:rsidRPr="0011324C">
        <w:rPr>
          <w:rFonts w:ascii="Arial" w:eastAsia="Arial" w:hAnsi="Arial" w:cs="Arial"/>
        </w:rPr>
        <w:t xml:space="preserve"> projek</w:t>
      </w:r>
      <w:r w:rsidR="006E17DF">
        <w:rPr>
          <w:rFonts w:ascii="Arial" w:eastAsia="Arial" w:hAnsi="Arial" w:cs="Arial"/>
        </w:rPr>
        <w:t>a</w:t>
      </w:r>
      <w:r w:rsidRPr="0011324C">
        <w:rPr>
          <w:rFonts w:ascii="Arial" w:eastAsia="Arial" w:hAnsi="Arial" w:cs="Arial"/>
        </w:rPr>
        <w:t>t</w:t>
      </w:r>
      <w:r w:rsidR="006E17DF">
        <w:rPr>
          <w:rFonts w:ascii="Arial" w:eastAsia="Arial" w:hAnsi="Arial" w:cs="Arial"/>
        </w:rPr>
        <w:t>a</w:t>
      </w:r>
      <w:r w:rsidRPr="0011324C">
        <w:rPr>
          <w:rFonts w:ascii="Arial" w:eastAsia="Arial" w:hAnsi="Arial" w:cs="Arial"/>
        </w:rPr>
        <w:t xml:space="preserve"> K100918 – Izgradnja pametne autobusne čekaonice sa iznosom od 15.000,00 eura, te kapitalni projekt K 100919 – Izgradnja punionice električnih vozila sa iznosom od 1.500,00 eura</w:t>
      </w:r>
      <w:r w:rsidR="0098598F">
        <w:rPr>
          <w:rFonts w:ascii="Arial" w:eastAsia="Arial" w:hAnsi="Arial" w:cs="Arial"/>
        </w:rPr>
        <w:t>.</w:t>
      </w:r>
      <w:r w:rsidR="00343B58">
        <w:rPr>
          <w:rFonts w:ascii="Arial" w:eastAsia="Arial" w:hAnsi="Arial" w:cs="Arial"/>
        </w:rPr>
        <w:t xml:space="preserve"> </w:t>
      </w:r>
    </w:p>
    <w:p w14:paraId="3D3B4650" w14:textId="7DD30DD2" w:rsidR="0011324C" w:rsidRDefault="0011324C" w:rsidP="006E17DF">
      <w:pPr>
        <w:spacing w:after="8" w:line="268" w:lineRule="auto"/>
        <w:ind w:left="389" w:hanging="9"/>
        <w:jc w:val="both"/>
        <w:rPr>
          <w:rFonts w:ascii="Arial" w:eastAsia="Arial" w:hAnsi="Arial" w:cs="Arial"/>
        </w:rPr>
      </w:pPr>
      <w:r w:rsidRPr="0011324C">
        <w:rPr>
          <w:rFonts w:ascii="Arial" w:eastAsia="Arial" w:hAnsi="Arial" w:cs="Arial"/>
        </w:rPr>
        <w:t xml:space="preserve">Na ime planiranog povećanja opsega održavanja cesta i javnih površina, </w:t>
      </w:r>
      <w:r w:rsidRPr="0011324C">
        <w:rPr>
          <w:rFonts w:ascii="Arial" w:eastAsia="Arial" w:hAnsi="Arial" w:cs="Arial"/>
          <w:b/>
        </w:rPr>
        <w:t>PROGRAM</w:t>
      </w:r>
      <w:r w:rsidRPr="0011324C">
        <w:rPr>
          <w:rFonts w:ascii="Arial" w:eastAsia="Arial" w:hAnsi="Arial" w:cs="Arial"/>
        </w:rPr>
        <w:t xml:space="preserve"> – </w:t>
      </w:r>
      <w:r w:rsidRPr="0011324C">
        <w:rPr>
          <w:rFonts w:ascii="Arial" w:eastAsia="Arial" w:hAnsi="Arial" w:cs="Arial"/>
          <w:b/>
        </w:rPr>
        <w:t>Održavanje komunalne infrastrukture</w:t>
      </w:r>
      <w:r w:rsidRPr="0011324C">
        <w:rPr>
          <w:rFonts w:ascii="Arial" w:eastAsia="Arial" w:hAnsi="Arial" w:cs="Arial"/>
        </w:rPr>
        <w:t xml:space="preserve"> se povećava za 25.413,02 eura</w:t>
      </w:r>
      <w:r w:rsidR="006E17DF">
        <w:rPr>
          <w:rFonts w:ascii="Arial" w:eastAsia="Arial" w:hAnsi="Arial" w:cs="Arial"/>
        </w:rPr>
        <w:t xml:space="preserve"> i to </w:t>
      </w:r>
      <w:r w:rsidRPr="0011324C">
        <w:rPr>
          <w:rFonts w:ascii="Arial" w:eastAsia="Arial" w:hAnsi="Arial" w:cs="Arial"/>
        </w:rPr>
        <w:t xml:space="preserve">pozicija 46 – </w:t>
      </w:r>
      <w:r w:rsidR="006E17DF">
        <w:rPr>
          <w:rFonts w:ascii="Arial" w:eastAsia="Arial" w:hAnsi="Arial" w:cs="Arial"/>
        </w:rPr>
        <w:t xml:space="preserve"> </w:t>
      </w:r>
      <w:r w:rsidRPr="0011324C">
        <w:rPr>
          <w:rFonts w:ascii="Arial" w:eastAsia="Arial" w:hAnsi="Arial" w:cs="Arial"/>
        </w:rPr>
        <w:t>Usluge tekućeg i investicijskog održavanja za iznos od 30.000,00 eura, pozicija 56 – Higijeničarska služba za iznos od 2.577,00 eura, pozicija 205 – Prijevoz pokojnika za iznos od 836,00 eura, dok do smanjenja dolazi na poziciji 55 – Komunalne usluge.</w:t>
      </w:r>
    </w:p>
    <w:p w14:paraId="7C97D049" w14:textId="77777777" w:rsidR="0098598F" w:rsidRPr="0011324C" w:rsidRDefault="0098598F" w:rsidP="006E17DF">
      <w:pPr>
        <w:spacing w:after="8" w:line="268" w:lineRule="auto"/>
        <w:ind w:left="389" w:hanging="9"/>
        <w:jc w:val="both"/>
      </w:pPr>
    </w:p>
    <w:p w14:paraId="300F3323" w14:textId="36088258" w:rsidR="0011324C" w:rsidRPr="0011324C" w:rsidRDefault="0011324C" w:rsidP="0011324C">
      <w:pPr>
        <w:spacing w:after="130" w:line="268" w:lineRule="auto"/>
        <w:ind w:left="389" w:hanging="9"/>
        <w:jc w:val="both"/>
        <w:rPr>
          <w:rFonts w:ascii="Arial" w:eastAsia="Arial" w:hAnsi="Arial" w:cs="Arial"/>
        </w:rPr>
      </w:pPr>
      <w:r w:rsidRPr="0011324C">
        <w:rPr>
          <w:rFonts w:ascii="Arial" w:eastAsia="Arial" w:hAnsi="Arial" w:cs="Arial"/>
          <w:b/>
        </w:rPr>
        <w:t>PROGRAM – Predškolski odgoj</w:t>
      </w:r>
      <w:r w:rsidRPr="0011324C">
        <w:rPr>
          <w:rFonts w:ascii="Arial" w:eastAsia="Arial" w:hAnsi="Arial" w:cs="Arial"/>
        </w:rPr>
        <w:t xml:space="preserve"> –</w:t>
      </w:r>
      <w:r w:rsidR="00F54994">
        <w:rPr>
          <w:rFonts w:ascii="Arial" w:eastAsia="Arial" w:hAnsi="Arial" w:cs="Arial"/>
        </w:rPr>
        <w:t xml:space="preserve"> </w:t>
      </w:r>
      <w:r w:rsidR="00F54994" w:rsidRPr="00F54994">
        <w:rPr>
          <w:rFonts w:ascii="Arial" w:eastAsia="Arial" w:hAnsi="Arial" w:cs="Arial"/>
        </w:rPr>
        <w:t>Nastavno na izmjene u troškovima sufinanciranja vrtića, Drugim izmjenama i dopunama povećava planirani iznos za 34.000,00 eura</w:t>
      </w:r>
      <w:r w:rsidR="008C0E42">
        <w:rPr>
          <w:rFonts w:ascii="Arial" w:eastAsia="Arial" w:hAnsi="Arial" w:cs="Arial"/>
        </w:rPr>
        <w:t xml:space="preserve">. </w:t>
      </w:r>
    </w:p>
    <w:p w14:paraId="436C3B90" w14:textId="202613FB" w:rsidR="008C0E42" w:rsidRDefault="0011324C" w:rsidP="0011324C">
      <w:pPr>
        <w:spacing w:after="130" w:line="268" w:lineRule="auto"/>
        <w:ind w:left="389" w:hanging="9"/>
        <w:jc w:val="both"/>
        <w:rPr>
          <w:rFonts w:ascii="Arial" w:eastAsia="Arial" w:hAnsi="Arial" w:cs="Arial"/>
          <w:b/>
          <w:bCs/>
        </w:rPr>
      </w:pPr>
      <w:r w:rsidRPr="0011324C">
        <w:rPr>
          <w:rFonts w:ascii="Arial" w:eastAsia="Arial" w:hAnsi="Arial" w:cs="Arial"/>
          <w:b/>
          <w:bCs/>
        </w:rPr>
        <w:t>PROGRAM – Osnovnoškolsko i srednj</w:t>
      </w:r>
      <w:r w:rsidR="008C0E42">
        <w:rPr>
          <w:rFonts w:ascii="Arial" w:eastAsia="Arial" w:hAnsi="Arial" w:cs="Arial"/>
          <w:b/>
          <w:bCs/>
        </w:rPr>
        <w:t>o</w:t>
      </w:r>
      <w:r w:rsidRPr="0011324C">
        <w:rPr>
          <w:rFonts w:ascii="Arial" w:eastAsia="Arial" w:hAnsi="Arial" w:cs="Arial"/>
          <w:b/>
          <w:bCs/>
        </w:rPr>
        <w:t>školsko</w:t>
      </w:r>
      <w:r w:rsidRPr="0011324C">
        <w:rPr>
          <w:rFonts w:ascii="Arial" w:eastAsia="Arial" w:hAnsi="Arial" w:cs="Arial"/>
        </w:rPr>
        <w:t xml:space="preserve"> </w:t>
      </w:r>
      <w:r w:rsidRPr="0011324C">
        <w:rPr>
          <w:rFonts w:ascii="Arial" w:eastAsia="Arial" w:hAnsi="Arial" w:cs="Arial"/>
          <w:b/>
          <w:bCs/>
        </w:rPr>
        <w:t>obrazovanje</w:t>
      </w:r>
      <w:r w:rsidRPr="0011324C">
        <w:rPr>
          <w:rFonts w:ascii="Arial" w:eastAsia="Arial" w:hAnsi="Arial" w:cs="Arial"/>
        </w:rPr>
        <w:t xml:space="preserve"> - povećava se u iznos od 2.391,00 eura</w:t>
      </w:r>
      <w:r w:rsidR="008C0E42">
        <w:rPr>
          <w:rFonts w:ascii="Arial" w:eastAsia="Arial" w:hAnsi="Arial" w:cs="Arial"/>
        </w:rPr>
        <w:t xml:space="preserve"> zbog planiranog </w:t>
      </w:r>
      <w:r w:rsidRPr="0011324C">
        <w:rPr>
          <w:rFonts w:ascii="Arial" w:eastAsia="Arial" w:hAnsi="Arial" w:cs="Arial"/>
        </w:rPr>
        <w:t>pojačano</w:t>
      </w:r>
      <w:r w:rsidR="008C0E42">
        <w:rPr>
          <w:rFonts w:ascii="Arial" w:eastAsia="Arial" w:hAnsi="Arial" w:cs="Arial"/>
        </w:rPr>
        <w:t>g</w:t>
      </w:r>
      <w:r w:rsidRPr="0011324C">
        <w:rPr>
          <w:rFonts w:ascii="Arial" w:eastAsia="Arial" w:hAnsi="Arial" w:cs="Arial"/>
        </w:rPr>
        <w:t xml:space="preserve"> sufinanciranj</w:t>
      </w:r>
      <w:r w:rsidR="008C0E42">
        <w:rPr>
          <w:rFonts w:ascii="Arial" w:eastAsia="Arial" w:hAnsi="Arial" w:cs="Arial"/>
        </w:rPr>
        <w:t>a</w:t>
      </w:r>
      <w:r w:rsidRPr="0011324C">
        <w:rPr>
          <w:rFonts w:ascii="Arial" w:eastAsia="Arial" w:hAnsi="Arial" w:cs="Arial"/>
        </w:rPr>
        <w:t xml:space="preserve"> programa iznad standarda u </w:t>
      </w:r>
      <w:proofErr w:type="spellStart"/>
      <w:r w:rsidRPr="0011324C">
        <w:rPr>
          <w:rFonts w:ascii="Arial" w:eastAsia="Arial" w:hAnsi="Arial" w:cs="Arial"/>
        </w:rPr>
        <w:t>osnovnoškoskom</w:t>
      </w:r>
      <w:proofErr w:type="spellEnd"/>
      <w:r w:rsidRPr="0011324C">
        <w:rPr>
          <w:rFonts w:ascii="Arial" w:eastAsia="Arial" w:hAnsi="Arial" w:cs="Arial"/>
        </w:rPr>
        <w:t xml:space="preserve"> obrazovanju i to u iznos od 700,00 eura, kao i u povećanju pozicije 62 – Poklon paketi za prvoškolce i sv. Nikolu za iznos od 1.691,00 eura</w:t>
      </w:r>
      <w:r w:rsidR="008C0E42">
        <w:rPr>
          <w:rFonts w:ascii="Arial" w:eastAsia="Arial" w:hAnsi="Arial" w:cs="Arial"/>
        </w:rPr>
        <w:t xml:space="preserve"> (</w:t>
      </w:r>
      <w:r w:rsidRPr="0011324C">
        <w:rPr>
          <w:rFonts w:ascii="Arial" w:eastAsia="Arial" w:hAnsi="Arial" w:cs="Arial"/>
        </w:rPr>
        <w:t>povećan</w:t>
      </w:r>
      <w:r w:rsidR="008C0E42">
        <w:rPr>
          <w:rFonts w:ascii="Arial" w:eastAsia="Arial" w:hAnsi="Arial" w:cs="Arial"/>
        </w:rPr>
        <w:t>ih</w:t>
      </w:r>
      <w:r w:rsidRPr="0011324C">
        <w:rPr>
          <w:rFonts w:ascii="Arial" w:eastAsia="Arial" w:hAnsi="Arial" w:cs="Arial"/>
        </w:rPr>
        <w:t xml:space="preserve"> cijena igračaka, slatkiša i sl.)</w:t>
      </w:r>
    </w:p>
    <w:p w14:paraId="206AECD0" w14:textId="4E62DF88" w:rsidR="0011324C" w:rsidRPr="0011324C" w:rsidRDefault="0011324C" w:rsidP="0011324C">
      <w:pPr>
        <w:spacing w:after="130" w:line="268" w:lineRule="auto"/>
        <w:ind w:left="389" w:hanging="9"/>
        <w:jc w:val="both"/>
        <w:rPr>
          <w:rFonts w:ascii="Arial" w:hAnsi="Arial" w:cs="Arial"/>
        </w:rPr>
      </w:pPr>
      <w:r w:rsidRPr="0011324C">
        <w:rPr>
          <w:rFonts w:ascii="Arial" w:eastAsia="Arial" w:hAnsi="Arial" w:cs="Arial"/>
          <w:b/>
          <w:bCs/>
        </w:rPr>
        <w:t xml:space="preserve">PROGRAM </w:t>
      </w:r>
      <w:r w:rsidRPr="0011324C">
        <w:rPr>
          <w:rFonts w:ascii="Arial" w:hAnsi="Arial" w:cs="Arial"/>
        </w:rPr>
        <w:t>– Socijalni program Općine Jelenje – povećava se za iznos od 3.174,00 eura</w:t>
      </w:r>
      <w:r w:rsidR="008C0E42">
        <w:rPr>
          <w:rFonts w:ascii="Arial" w:hAnsi="Arial" w:cs="Arial"/>
        </w:rPr>
        <w:t xml:space="preserve"> planiranih za potrebe</w:t>
      </w:r>
      <w:r w:rsidRPr="0011324C">
        <w:rPr>
          <w:rFonts w:ascii="Arial" w:hAnsi="Arial" w:cs="Arial"/>
        </w:rPr>
        <w:t xml:space="preserve"> Troškova stanovanja i prehrane </w:t>
      </w:r>
      <w:r w:rsidR="008C0E42">
        <w:rPr>
          <w:rFonts w:ascii="Arial" w:hAnsi="Arial" w:cs="Arial"/>
        </w:rPr>
        <w:t xml:space="preserve">(zbog </w:t>
      </w:r>
      <w:r w:rsidR="0076484C">
        <w:rPr>
          <w:rFonts w:ascii="Arial" w:hAnsi="Arial" w:cs="Arial"/>
        </w:rPr>
        <w:t>porasta troškova života i prisutne inflacije – nabava poklon paketa</w:t>
      </w:r>
      <w:r w:rsidR="008C0E42">
        <w:rPr>
          <w:rFonts w:ascii="Arial" w:hAnsi="Arial" w:cs="Arial"/>
        </w:rPr>
        <w:t>)</w:t>
      </w:r>
      <w:r w:rsidRPr="0011324C">
        <w:rPr>
          <w:rFonts w:ascii="Arial" w:hAnsi="Arial" w:cs="Arial"/>
        </w:rPr>
        <w:t xml:space="preserve">. </w:t>
      </w:r>
      <w:r w:rsidR="008C0E42">
        <w:rPr>
          <w:rFonts w:ascii="Arial" w:hAnsi="Arial" w:cs="Arial"/>
        </w:rPr>
        <w:t>Unutar programa o</w:t>
      </w:r>
      <w:r w:rsidRPr="0011324C">
        <w:rPr>
          <w:rFonts w:ascii="Arial" w:hAnsi="Arial" w:cs="Arial"/>
        </w:rPr>
        <w:t xml:space="preserve">tvorena je nova Aktivnost 101604 </w:t>
      </w:r>
      <w:r w:rsidRPr="00F54994">
        <w:rPr>
          <w:rFonts w:ascii="Arial" w:hAnsi="Arial" w:cs="Arial"/>
          <w:color w:val="auto"/>
        </w:rPr>
        <w:t>– Zajedno u zlatnim godinama za čiju se realizaciju predviđena sredstva u iznosu od 5.000,00 eura</w:t>
      </w:r>
      <w:r w:rsidR="008C0E42" w:rsidRPr="00F54994">
        <w:rPr>
          <w:rFonts w:ascii="Arial" w:hAnsi="Arial" w:cs="Arial"/>
          <w:color w:val="auto"/>
        </w:rPr>
        <w:t xml:space="preserve"> na ime intelektualnih usluga koje će Općina koristiti za prijavu projekta na Javni poziv.</w:t>
      </w:r>
      <w:r w:rsidR="008C0E42">
        <w:rPr>
          <w:rFonts w:ascii="Arial" w:hAnsi="Arial" w:cs="Arial"/>
        </w:rPr>
        <w:t xml:space="preserve"> </w:t>
      </w:r>
      <w:r w:rsidRPr="0011324C">
        <w:rPr>
          <w:rFonts w:ascii="Arial" w:hAnsi="Arial" w:cs="Arial"/>
        </w:rPr>
        <w:t>Smanjenj</w:t>
      </w:r>
      <w:r w:rsidR="008C0E42">
        <w:rPr>
          <w:rFonts w:ascii="Arial" w:hAnsi="Arial" w:cs="Arial"/>
        </w:rPr>
        <w:t>e</w:t>
      </w:r>
      <w:r w:rsidRPr="0011324C">
        <w:rPr>
          <w:rFonts w:ascii="Arial" w:hAnsi="Arial" w:cs="Arial"/>
        </w:rPr>
        <w:t xml:space="preserve"> u iznosu od 3.645,00 eura  </w:t>
      </w:r>
      <w:r w:rsidR="008C0E42">
        <w:rPr>
          <w:rFonts w:ascii="Arial" w:hAnsi="Arial" w:cs="Arial"/>
        </w:rPr>
        <w:t xml:space="preserve">planirano </w:t>
      </w:r>
      <w:r w:rsidRPr="0011324C">
        <w:rPr>
          <w:rFonts w:ascii="Arial" w:hAnsi="Arial" w:cs="Arial"/>
        </w:rPr>
        <w:t xml:space="preserve">je na poziciji </w:t>
      </w:r>
      <w:r w:rsidR="008C0E42">
        <w:rPr>
          <w:rFonts w:ascii="Arial" w:hAnsi="Arial" w:cs="Arial"/>
        </w:rPr>
        <w:t>Š</w:t>
      </w:r>
      <w:r w:rsidRPr="0011324C">
        <w:rPr>
          <w:rFonts w:ascii="Arial" w:hAnsi="Arial" w:cs="Arial"/>
        </w:rPr>
        <w:t xml:space="preserve">kolske marende, </w:t>
      </w:r>
      <w:r w:rsidR="0076484C">
        <w:rPr>
          <w:rFonts w:ascii="Arial" w:hAnsi="Arial" w:cs="Arial"/>
        </w:rPr>
        <w:t xml:space="preserve">zbog preuzimanja sufinanciranja od strane Ministarstva znanosti i obrazovanja. </w:t>
      </w:r>
    </w:p>
    <w:p w14:paraId="410BB75D" w14:textId="159E3D64" w:rsidR="0011324C" w:rsidRPr="0011324C" w:rsidRDefault="0011324C" w:rsidP="0011324C">
      <w:pPr>
        <w:spacing w:after="131" w:line="268" w:lineRule="auto"/>
        <w:ind w:left="389" w:hanging="9"/>
        <w:jc w:val="both"/>
        <w:rPr>
          <w:bCs/>
        </w:rPr>
      </w:pPr>
      <w:r w:rsidRPr="0011324C">
        <w:rPr>
          <w:rFonts w:ascii="Arial" w:eastAsia="Arial" w:hAnsi="Arial" w:cs="Arial"/>
          <w:b/>
        </w:rPr>
        <w:t xml:space="preserve">PROGRAM – Vjerske zajednice, </w:t>
      </w:r>
      <w:r w:rsidR="008C0E42" w:rsidRPr="008C0E42">
        <w:rPr>
          <w:rFonts w:ascii="Arial" w:eastAsia="Arial" w:hAnsi="Arial" w:cs="Arial"/>
          <w:bCs/>
        </w:rPr>
        <w:t>pozicija se u cijelosti anulira</w:t>
      </w:r>
      <w:r w:rsidR="008C0E42">
        <w:rPr>
          <w:rFonts w:ascii="Arial" w:eastAsia="Arial" w:hAnsi="Arial" w:cs="Arial"/>
          <w:bCs/>
        </w:rPr>
        <w:t>, z</w:t>
      </w:r>
      <w:r w:rsidR="008C0E42" w:rsidRPr="008C0E42">
        <w:rPr>
          <w:rFonts w:ascii="Arial" w:eastAsia="Arial" w:hAnsi="Arial" w:cs="Arial"/>
          <w:bCs/>
        </w:rPr>
        <w:t xml:space="preserve">bog odustajanja </w:t>
      </w:r>
      <w:r w:rsidR="008C0E42" w:rsidRPr="0011324C">
        <w:rPr>
          <w:rFonts w:ascii="Arial" w:eastAsia="Arial" w:hAnsi="Arial" w:cs="Arial"/>
          <w:bCs/>
        </w:rPr>
        <w:t>nositelj</w:t>
      </w:r>
      <w:r w:rsidR="008C0E42">
        <w:rPr>
          <w:rFonts w:ascii="Arial" w:eastAsia="Arial" w:hAnsi="Arial" w:cs="Arial"/>
          <w:bCs/>
        </w:rPr>
        <w:t>a</w:t>
      </w:r>
      <w:r w:rsidR="008C0E42" w:rsidRPr="0011324C">
        <w:rPr>
          <w:rFonts w:ascii="Arial" w:eastAsia="Arial" w:hAnsi="Arial" w:cs="Arial"/>
          <w:bCs/>
        </w:rPr>
        <w:t xml:space="preserve"> </w:t>
      </w:r>
      <w:r w:rsidR="008C0E42" w:rsidRPr="008C0E42">
        <w:rPr>
          <w:rFonts w:ascii="Arial" w:eastAsia="Arial" w:hAnsi="Arial" w:cs="Arial"/>
          <w:bCs/>
        </w:rPr>
        <w:t>od projekta obnove crkve sv. Mihovila</w:t>
      </w:r>
      <w:r w:rsidR="00DF6022">
        <w:rPr>
          <w:rFonts w:ascii="Arial" w:eastAsia="Arial" w:hAnsi="Arial" w:cs="Arial"/>
          <w:bCs/>
        </w:rPr>
        <w:t>.</w:t>
      </w:r>
    </w:p>
    <w:p w14:paraId="79862F6B" w14:textId="657076A9" w:rsidR="0011324C" w:rsidRDefault="0011324C" w:rsidP="0011324C">
      <w:pPr>
        <w:spacing w:after="131" w:line="268" w:lineRule="auto"/>
        <w:ind w:left="389" w:hanging="9"/>
        <w:jc w:val="both"/>
      </w:pPr>
      <w:r w:rsidRPr="0011324C">
        <w:rPr>
          <w:rFonts w:ascii="Arial" w:eastAsia="Arial" w:hAnsi="Arial" w:cs="Arial"/>
        </w:rPr>
        <w:t>Ostali nenavedeni vrijednosno promijenjeni rashodi i izdaci proračuna ne utječu značajno na visinu proračuna.</w:t>
      </w:r>
      <w:r>
        <w:rPr>
          <w:rFonts w:ascii="Arial" w:eastAsia="Arial" w:hAnsi="Arial" w:cs="Arial"/>
        </w:rPr>
        <w:t xml:space="preserve"> </w:t>
      </w:r>
    </w:p>
    <w:p w14:paraId="62672850" w14:textId="77777777" w:rsidR="009A4B55" w:rsidRDefault="00000000">
      <w:pPr>
        <w:spacing w:after="136"/>
        <w:ind w:left="393"/>
      </w:pPr>
      <w:r>
        <w:rPr>
          <w:rFonts w:ascii="Arial" w:eastAsia="Arial" w:hAnsi="Arial" w:cs="Arial"/>
          <w:b/>
          <w:color w:val="FF0000"/>
        </w:rPr>
        <w:t xml:space="preserve"> </w:t>
      </w:r>
    </w:p>
    <w:p w14:paraId="694E3542" w14:textId="7F7D3318" w:rsidR="009A4B55" w:rsidRDefault="00000000" w:rsidP="00F54994">
      <w:pPr>
        <w:spacing w:after="139"/>
        <w:ind w:left="393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785E03E8" w14:textId="77777777" w:rsidR="009A4B55" w:rsidRDefault="00000000">
      <w:pPr>
        <w:spacing w:after="143"/>
        <w:ind w:left="393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</w:p>
    <w:p w14:paraId="49C8E0CE" w14:textId="77777777" w:rsidR="009A4B55" w:rsidRDefault="00000000">
      <w:pPr>
        <w:spacing w:after="0"/>
        <w:ind w:left="393"/>
      </w:pPr>
      <w:r>
        <w:rPr>
          <w:rFonts w:ascii="Arial" w:eastAsia="Arial" w:hAnsi="Arial" w:cs="Arial"/>
        </w:rPr>
        <w:t xml:space="preserve"> </w:t>
      </w:r>
    </w:p>
    <w:sectPr w:rsidR="009A4B55">
      <w:footerReference w:type="even" r:id="rId10"/>
      <w:footerReference w:type="default" r:id="rId11"/>
      <w:footerReference w:type="first" r:id="rId12"/>
      <w:pgSz w:w="11906" w:h="16838"/>
      <w:pgMar w:top="1138" w:right="1129" w:bottom="997" w:left="739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D183" w14:textId="77777777" w:rsidR="00102B5B" w:rsidRDefault="00102B5B">
      <w:pPr>
        <w:spacing w:after="0" w:line="240" w:lineRule="auto"/>
      </w:pPr>
      <w:r>
        <w:separator/>
      </w:r>
    </w:p>
  </w:endnote>
  <w:endnote w:type="continuationSeparator" w:id="0">
    <w:p w14:paraId="6BFE03E0" w14:textId="77777777" w:rsidR="00102B5B" w:rsidRDefault="0010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94E3" w14:textId="77777777" w:rsidR="009A4B55" w:rsidRDefault="00000000">
    <w:pPr>
      <w:spacing w:after="0"/>
      <w:ind w:left="3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0BECBB09" w14:textId="77777777" w:rsidR="009A4B55" w:rsidRDefault="00000000">
    <w:pPr>
      <w:spacing w:after="0"/>
      <w:ind w:left="394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F1E8" w14:textId="77777777" w:rsidR="009A4B55" w:rsidRDefault="00000000">
    <w:pPr>
      <w:spacing w:after="0"/>
      <w:ind w:left="3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0D8923EE" w14:textId="77777777" w:rsidR="009A4B55" w:rsidRDefault="00000000">
    <w:pPr>
      <w:spacing w:after="0"/>
      <w:ind w:left="394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95B6" w14:textId="77777777" w:rsidR="009A4B55" w:rsidRDefault="00000000">
    <w:pPr>
      <w:spacing w:after="0"/>
      <w:ind w:left="3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057A37BE" w14:textId="77777777" w:rsidR="009A4B55" w:rsidRDefault="00000000">
    <w:pPr>
      <w:spacing w:after="0"/>
      <w:ind w:left="394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DF72" w14:textId="77777777" w:rsidR="00102B5B" w:rsidRDefault="00102B5B">
      <w:pPr>
        <w:spacing w:after="0" w:line="240" w:lineRule="auto"/>
      </w:pPr>
      <w:r>
        <w:separator/>
      </w:r>
    </w:p>
  </w:footnote>
  <w:footnote w:type="continuationSeparator" w:id="0">
    <w:p w14:paraId="735A2956" w14:textId="77777777" w:rsidR="00102B5B" w:rsidRDefault="00102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1B7"/>
    <w:multiLevelType w:val="hybridMultilevel"/>
    <w:tmpl w:val="F6C2F31A"/>
    <w:lvl w:ilvl="0" w:tplc="F1D665E6">
      <w:start w:val="1"/>
      <w:numFmt w:val="bullet"/>
      <w:lvlText w:val=""/>
      <w:lvlJc w:val="left"/>
      <w:pPr>
        <w:ind w:left="1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E7C16">
      <w:start w:val="1"/>
      <w:numFmt w:val="bullet"/>
      <w:lvlText w:val="o"/>
      <w:lvlJc w:val="left"/>
      <w:pPr>
        <w:ind w:left="1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A6148">
      <w:start w:val="1"/>
      <w:numFmt w:val="bullet"/>
      <w:lvlText w:val="▪"/>
      <w:lvlJc w:val="left"/>
      <w:pPr>
        <w:ind w:left="2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6E82">
      <w:start w:val="1"/>
      <w:numFmt w:val="bullet"/>
      <w:lvlText w:val="•"/>
      <w:lvlJc w:val="left"/>
      <w:pPr>
        <w:ind w:left="3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2E058">
      <w:start w:val="1"/>
      <w:numFmt w:val="bullet"/>
      <w:lvlText w:val="o"/>
      <w:lvlJc w:val="left"/>
      <w:pPr>
        <w:ind w:left="3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0FCF0">
      <w:start w:val="1"/>
      <w:numFmt w:val="bullet"/>
      <w:lvlText w:val="▪"/>
      <w:lvlJc w:val="left"/>
      <w:pPr>
        <w:ind w:left="4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8B0CA">
      <w:start w:val="1"/>
      <w:numFmt w:val="bullet"/>
      <w:lvlText w:val="•"/>
      <w:lvlJc w:val="left"/>
      <w:pPr>
        <w:ind w:left="5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870A0">
      <w:start w:val="1"/>
      <w:numFmt w:val="bullet"/>
      <w:lvlText w:val="o"/>
      <w:lvlJc w:val="left"/>
      <w:pPr>
        <w:ind w:left="6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E995A">
      <w:start w:val="1"/>
      <w:numFmt w:val="bullet"/>
      <w:lvlText w:val="▪"/>
      <w:lvlJc w:val="left"/>
      <w:pPr>
        <w:ind w:left="6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C01BD"/>
    <w:multiLevelType w:val="hybridMultilevel"/>
    <w:tmpl w:val="C4E28916"/>
    <w:lvl w:ilvl="0" w:tplc="9266FBA6">
      <w:start w:val="1"/>
      <w:numFmt w:val="bullet"/>
      <w:lvlText w:val="•"/>
      <w:lvlJc w:val="left"/>
      <w:pPr>
        <w:ind w:left="1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A0D8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0032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2293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A27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8469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2211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4F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279C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346C87"/>
    <w:multiLevelType w:val="hybridMultilevel"/>
    <w:tmpl w:val="ADF0744E"/>
    <w:lvl w:ilvl="0" w:tplc="61CE7308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F2E90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0525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6CD0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C05D0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C787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4398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E2DF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E189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D56969"/>
    <w:multiLevelType w:val="hybridMultilevel"/>
    <w:tmpl w:val="5EB0F668"/>
    <w:lvl w:ilvl="0" w:tplc="B91E2B92">
      <w:start w:val="1"/>
      <w:numFmt w:val="upperRoman"/>
      <w:lvlText w:val="%1.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8C1F8C">
      <w:start w:val="1"/>
      <w:numFmt w:val="lowerLetter"/>
      <w:lvlText w:val="%2"/>
      <w:lvlJc w:val="left"/>
      <w:pPr>
        <w:ind w:left="1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05E3E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41F60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20464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8E064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411F4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C34D6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065C0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905BC"/>
    <w:multiLevelType w:val="hybridMultilevel"/>
    <w:tmpl w:val="80AA9F00"/>
    <w:lvl w:ilvl="0" w:tplc="5EB810E6">
      <w:start w:val="1"/>
      <w:numFmt w:val="bullet"/>
      <w:lvlText w:val="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26E4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ECD0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CEAC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4490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090A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1A67E2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4CE6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AC720E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5C154E"/>
    <w:multiLevelType w:val="hybridMultilevel"/>
    <w:tmpl w:val="2FA4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1932">
    <w:abstractNumId w:val="3"/>
  </w:num>
  <w:num w:numId="2" w16cid:durableId="1299647464">
    <w:abstractNumId w:val="0"/>
  </w:num>
  <w:num w:numId="3" w16cid:durableId="1034846116">
    <w:abstractNumId w:val="1"/>
  </w:num>
  <w:num w:numId="4" w16cid:durableId="1919896109">
    <w:abstractNumId w:val="4"/>
  </w:num>
  <w:num w:numId="5" w16cid:durableId="305546585">
    <w:abstractNumId w:val="2"/>
  </w:num>
  <w:num w:numId="6" w16cid:durableId="1569346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55"/>
    <w:rsid w:val="00080148"/>
    <w:rsid w:val="000B26A4"/>
    <w:rsid w:val="000E170B"/>
    <w:rsid w:val="000E3566"/>
    <w:rsid w:val="000E72BA"/>
    <w:rsid w:val="00102B5B"/>
    <w:rsid w:val="0011324C"/>
    <w:rsid w:val="001366A3"/>
    <w:rsid w:val="0016105D"/>
    <w:rsid w:val="00167329"/>
    <w:rsid w:val="0021033C"/>
    <w:rsid w:val="002E74D0"/>
    <w:rsid w:val="002F7872"/>
    <w:rsid w:val="00334692"/>
    <w:rsid w:val="00343B58"/>
    <w:rsid w:val="00363872"/>
    <w:rsid w:val="00383518"/>
    <w:rsid w:val="003A2047"/>
    <w:rsid w:val="003A280B"/>
    <w:rsid w:val="00474D79"/>
    <w:rsid w:val="004D6FBE"/>
    <w:rsid w:val="00502EB5"/>
    <w:rsid w:val="005C429F"/>
    <w:rsid w:val="005E27DF"/>
    <w:rsid w:val="00696DA7"/>
    <w:rsid w:val="006E17DF"/>
    <w:rsid w:val="0070586A"/>
    <w:rsid w:val="00711931"/>
    <w:rsid w:val="00741388"/>
    <w:rsid w:val="0076484C"/>
    <w:rsid w:val="00835DEC"/>
    <w:rsid w:val="008B0B05"/>
    <w:rsid w:val="008C0E42"/>
    <w:rsid w:val="0098598F"/>
    <w:rsid w:val="009A4B55"/>
    <w:rsid w:val="00A03332"/>
    <w:rsid w:val="00A30D16"/>
    <w:rsid w:val="00A37D42"/>
    <w:rsid w:val="00A60404"/>
    <w:rsid w:val="00B1489B"/>
    <w:rsid w:val="00B91E86"/>
    <w:rsid w:val="00BC19B3"/>
    <w:rsid w:val="00C8418E"/>
    <w:rsid w:val="00C9161E"/>
    <w:rsid w:val="00CB637F"/>
    <w:rsid w:val="00CE55AD"/>
    <w:rsid w:val="00CF3F41"/>
    <w:rsid w:val="00D01422"/>
    <w:rsid w:val="00D217A5"/>
    <w:rsid w:val="00D46255"/>
    <w:rsid w:val="00DE20A5"/>
    <w:rsid w:val="00DF6022"/>
    <w:rsid w:val="00E400A4"/>
    <w:rsid w:val="00E838BA"/>
    <w:rsid w:val="00E83CD2"/>
    <w:rsid w:val="00E86BC8"/>
    <w:rsid w:val="00E91B36"/>
    <w:rsid w:val="00EB2C76"/>
    <w:rsid w:val="00F03851"/>
    <w:rsid w:val="00F50E47"/>
    <w:rsid w:val="00F54994"/>
    <w:rsid w:val="00F71D5A"/>
    <w:rsid w:val="00F72397"/>
    <w:rsid w:val="00F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6F55"/>
  <w15:docId w15:val="{AC9A6AE5-8825-4E35-AE52-19916E67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1324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1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RA&#268;UN\2023\POMO&#262;NA%20TABLIC%20-%20GRAFIKONBook1-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ORA&#268;UN\2023\POMO&#262;NA%20TABLIC%20-%20GRAFIKONBook1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PLAN 2023.</c:v>
                </c:pt>
              </c:strCache>
            </c:strRef>
          </c:tx>
          <c:invertIfNegative val="0"/>
          <c:cat>
            <c:strRef>
              <c:f>Sheet2!$A$2:$A$10</c:f>
              <c:strCache>
                <c:ptCount val="9"/>
                <c:pt idx="0">
                  <c:v>Prihodi od poreza (61)</c:v>
                </c:pt>
                <c:pt idx="1">
                  <c:v>Pomoći (63)</c:v>
                </c:pt>
                <c:pt idx="2">
                  <c:v>Prihodi od imovine (64)</c:v>
                </c:pt>
                <c:pt idx="3">
                  <c:v>Od upravnih prist. i po pos.prop.  (65)</c:v>
                </c:pt>
                <c:pt idx="4">
                  <c:v>Od donacija (66)</c:v>
                </c:pt>
                <c:pt idx="5">
                  <c:v>Ostalo (68)</c:v>
                </c:pt>
                <c:pt idx="6">
                  <c:v>Od prodaje nefin.imovine (7)</c:v>
                </c:pt>
                <c:pt idx="7">
                  <c:v>Višak prihoda preth.god. (922)</c:v>
                </c:pt>
                <c:pt idx="8">
                  <c:v>Primici od financ.imovine  i zaduženja (8)</c:v>
                </c:pt>
              </c:strCache>
            </c:strRef>
          </c:cat>
          <c:val>
            <c:numRef>
              <c:f>Sheet2!$B$2:$B$10</c:f>
              <c:numCache>
                <c:formatCode>#,##0</c:formatCode>
                <c:ptCount val="9"/>
                <c:pt idx="0">
                  <c:v>1541634</c:v>
                </c:pt>
                <c:pt idx="1">
                  <c:v>2490851</c:v>
                </c:pt>
                <c:pt idx="2">
                  <c:v>237372</c:v>
                </c:pt>
                <c:pt idx="3">
                  <c:v>500018</c:v>
                </c:pt>
                <c:pt idx="4">
                  <c:v>26000</c:v>
                </c:pt>
                <c:pt idx="5">
                  <c:v>6636</c:v>
                </c:pt>
                <c:pt idx="6">
                  <c:v>195469</c:v>
                </c:pt>
                <c:pt idx="7">
                  <c:v>395766</c:v>
                </c:pt>
                <c:pt idx="8">
                  <c:v>724254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5E-4413-AD6B-7F892D3312FC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PRVE IZMJENE I DOPUNE</c:v>
                </c:pt>
              </c:strCache>
            </c:strRef>
          </c:tx>
          <c:invertIfNegative val="0"/>
          <c:cat>
            <c:strRef>
              <c:f>Sheet2!$A$2:$A$10</c:f>
              <c:strCache>
                <c:ptCount val="9"/>
                <c:pt idx="0">
                  <c:v>Prihodi od poreza (61)</c:v>
                </c:pt>
                <c:pt idx="1">
                  <c:v>Pomoći (63)</c:v>
                </c:pt>
                <c:pt idx="2">
                  <c:v>Prihodi od imovine (64)</c:v>
                </c:pt>
                <c:pt idx="3">
                  <c:v>Od upravnih prist. i po pos.prop.  (65)</c:v>
                </c:pt>
                <c:pt idx="4">
                  <c:v>Od donacija (66)</c:v>
                </c:pt>
                <c:pt idx="5">
                  <c:v>Ostalo (68)</c:v>
                </c:pt>
                <c:pt idx="6">
                  <c:v>Od prodaje nefin.imovine (7)</c:v>
                </c:pt>
                <c:pt idx="7">
                  <c:v>Višak prihoda preth.god. (922)</c:v>
                </c:pt>
                <c:pt idx="8">
                  <c:v>Primici od financ.imovine  i zaduženja (8)</c:v>
                </c:pt>
              </c:strCache>
            </c:strRef>
          </c:cat>
          <c:val>
            <c:numRef>
              <c:f>Sheet2!$C$2:$C$10</c:f>
              <c:numCache>
                <c:formatCode>#,##0</c:formatCode>
                <c:ptCount val="9"/>
                <c:pt idx="0">
                  <c:v>1859234</c:v>
                </c:pt>
                <c:pt idx="1">
                  <c:v>2377928</c:v>
                </c:pt>
                <c:pt idx="2">
                  <c:v>294690</c:v>
                </c:pt>
                <c:pt idx="3">
                  <c:v>472568</c:v>
                </c:pt>
                <c:pt idx="4">
                  <c:v>26000</c:v>
                </c:pt>
                <c:pt idx="5">
                  <c:v>6636</c:v>
                </c:pt>
                <c:pt idx="6">
                  <c:v>195469</c:v>
                </c:pt>
                <c:pt idx="7">
                  <c:v>463295</c:v>
                </c:pt>
                <c:pt idx="8">
                  <c:v>929060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5E-4413-AD6B-7F892D331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67648"/>
        <c:axId val="240677632"/>
      </c:barChart>
      <c:lineChart>
        <c:grouping val="standard"/>
        <c:varyColors val="0"/>
        <c:ser>
          <c:idx val="2"/>
          <c:order val="2"/>
          <c:tx>
            <c:strRef>
              <c:f>Sheet2!$D$1</c:f>
              <c:strCache>
                <c:ptCount val="1"/>
                <c:pt idx="0">
                  <c:v>DRUGE IZMJENE I DOPUNE</c:v>
                </c:pt>
              </c:strCache>
            </c:strRef>
          </c:tx>
          <c:marker>
            <c:symbol val="none"/>
          </c:marker>
          <c:cat>
            <c:strRef>
              <c:f>Sheet2!$A$2:$A$10</c:f>
              <c:strCache>
                <c:ptCount val="9"/>
                <c:pt idx="0">
                  <c:v>Prihodi od poreza (61)</c:v>
                </c:pt>
                <c:pt idx="1">
                  <c:v>Pomoći (63)</c:v>
                </c:pt>
                <c:pt idx="2">
                  <c:v>Prihodi od imovine (64)</c:v>
                </c:pt>
                <c:pt idx="3">
                  <c:v>Od upravnih prist. i po pos.prop.  (65)</c:v>
                </c:pt>
                <c:pt idx="4">
                  <c:v>Od donacija (66)</c:v>
                </c:pt>
                <c:pt idx="5">
                  <c:v>Ostalo (68)</c:v>
                </c:pt>
                <c:pt idx="6">
                  <c:v>Od prodaje nefin.imovine (7)</c:v>
                </c:pt>
                <c:pt idx="7">
                  <c:v>Višak prihoda preth.god. (922)</c:v>
                </c:pt>
                <c:pt idx="8">
                  <c:v>Primici od financ.imovine  i zaduženja (8)</c:v>
                </c:pt>
              </c:strCache>
            </c:strRef>
          </c:cat>
          <c:val>
            <c:numRef>
              <c:f>Sheet2!$D$2:$D$10</c:f>
              <c:numCache>
                <c:formatCode>#,##0</c:formatCode>
                <c:ptCount val="9"/>
                <c:pt idx="0">
                  <c:v>2007625</c:v>
                </c:pt>
                <c:pt idx="1">
                  <c:v>1618056</c:v>
                </c:pt>
                <c:pt idx="2">
                  <c:v>274488</c:v>
                </c:pt>
                <c:pt idx="3">
                  <c:v>501186</c:v>
                </c:pt>
                <c:pt idx="4">
                  <c:v>26000</c:v>
                </c:pt>
                <c:pt idx="5">
                  <c:v>4000</c:v>
                </c:pt>
                <c:pt idx="6">
                  <c:v>82291</c:v>
                </c:pt>
                <c:pt idx="7">
                  <c:v>463295</c:v>
                </c:pt>
                <c:pt idx="8">
                  <c:v>929060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65E-4413-AD6B-7F892D331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667648"/>
        <c:axId val="240677632"/>
      </c:lineChart>
      <c:catAx>
        <c:axId val="240667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500" baseline="0"/>
            </a:pPr>
            <a:endParaRPr lang="sr-Latn-RS"/>
          </a:p>
        </c:txPr>
        <c:crossAx val="240677632"/>
        <c:crosses val="autoZero"/>
        <c:auto val="1"/>
        <c:lblAlgn val="ctr"/>
        <c:lblOffset val="100"/>
        <c:noMultiLvlLbl val="0"/>
      </c:catAx>
      <c:valAx>
        <c:axId val="24067763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sr-Latn-RS"/>
          </a:p>
        </c:txPr>
        <c:crossAx val="2406676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600" baseline="0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Sheet2!$B$18</c:f>
              <c:strCache>
                <c:ptCount val="1"/>
                <c:pt idx="0">
                  <c:v>PLAN 2023.</c:v>
                </c:pt>
              </c:strCache>
            </c:strRef>
          </c:tx>
          <c:invertIfNegative val="0"/>
          <c:cat>
            <c:strRef>
              <c:f>Sheet2!$A$19:$A$27</c:f>
              <c:strCache>
                <c:ptCount val="9"/>
                <c:pt idx="0">
                  <c:v>Rashodi za zaposlene (31)</c:v>
                </c:pt>
                <c:pt idx="1">
                  <c:v>Materijalni rashodi (32)</c:v>
                </c:pt>
                <c:pt idx="2">
                  <c:v>Financijski rashodi (34)</c:v>
                </c:pt>
                <c:pt idx="3">
                  <c:v>Subvencije (35)</c:v>
                </c:pt>
                <c:pt idx="4">
                  <c:v>Pomoći (36)</c:v>
                </c:pt>
                <c:pt idx="5">
                  <c:v>Naknade građanima i kućanstvima (37)</c:v>
                </c:pt>
                <c:pt idx="6">
                  <c:v>Ostali rashodi (38)</c:v>
                </c:pt>
                <c:pt idx="7">
                  <c:v>Rashodi za nabavu nef. Imovine  (4)</c:v>
                </c:pt>
                <c:pt idx="8">
                  <c:v>Izdaci za otplatu glavnice primljenih kredita i zajmova</c:v>
                </c:pt>
              </c:strCache>
            </c:strRef>
          </c:cat>
          <c:val>
            <c:numRef>
              <c:f>Sheet2!$B$19:$B$27</c:f>
              <c:numCache>
                <c:formatCode>#,##0</c:formatCode>
                <c:ptCount val="9"/>
                <c:pt idx="0">
                  <c:v>291446</c:v>
                </c:pt>
                <c:pt idx="1">
                  <c:v>943822</c:v>
                </c:pt>
                <c:pt idx="2">
                  <c:v>31880</c:v>
                </c:pt>
                <c:pt idx="3">
                  <c:v>133121</c:v>
                </c:pt>
                <c:pt idx="4">
                  <c:v>55610</c:v>
                </c:pt>
                <c:pt idx="5">
                  <c:v>406793</c:v>
                </c:pt>
                <c:pt idx="6">
                  <c:v>570149</c:v>
                </c:pt>
                <c:pt idx="7">
                  <c:v>3462601</c:v>
                </c:pt>
                <c:pt idx="8">
                  <c:v>222578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7-4505-A5A8-AACEC7CDD4E3}"/>
            </c:ext>
          </c:extLst>
        </c:ser>
        <c:ser>
          <c:idx val="1"/>
          <c:order val="1"/>
          <c:tx>
            <c:strRef>
              <c:f>Sheet2!$C$18</c:f>
              <c:strCache>
                <c:ptCount val="1"/>
                <c:pt idx="0">
                  <c:v>PRVE IZMJENE I DOPUNE</c:v>
                </c:pt>
              </c:strCache>
            </c:strRef>
          </c:tx>
          <c:invertIfNegative val="0"/>
          <c:cat>
            <c:strRef>
              <c:f>Sheet2!$A$19:$A$27</c:f>
              <c:strCache>
                <c:ptCount val="9"/>
                <c:pt idx="0">
                  <c:v>Rashodi za zaposlene (31)</c:v>
                </c:pt>
                <c:pt idx="1">
                  <c:v>Materijalni rashodi (32)</c:v>
                </c:pt>
                <c:pt idx="2">
                  <c:v>Financijski rashodi (34)</c:v>
                </c:pt>
                <c:pt idx="3">
                  <c:v>Subvencije (35)</c:v>
                </c:pt>
                <c:pt idx="4">
                  <c:v>Pomoći (36)</c:v>
                </c:pt>
                <c:pt idx="5">
                  <c:v>Naknade građanima i kućanstvima (37)</c:v>
                </c:pt>
                <c:pt idx="6">
                  <c:v>Ostali rashodi (38)</c:v>
                </c:pt>
                <c:pt idx="7">
                  <c:v>Rashodi za nabavu nef. Imovine  (4)</c:v>
                </c:pt>
                <c:pt idx="8">
                  <c:v>Izdaci za otplatu glavnice primljenih kredita i zajmova</c:v>
                </c:pt>
              </c:strCache>
            </c:strRef>
          </c:cat>
          <c:val>
            <c:numRef>
              <c:f>Sheet2!$C$19:$C$27</c:f>
              <c:numCache>
                <c:formatCode>#,##0</c:formatCode>
                <c:ptCount val="9"/>
                <c:pt idx="0">
                  <c:v>291446</c:v>
                </c:pt>
                <c:pt idx="1">
                  <c:v>926209</c:v>
                </c:pt>
                <c:pt idx="2">
                  <c:v>31880</c:v>
                </c:pt>
                <c:pt idx="3">
                  <c:v>198007</c:v>
                </c:pt>
                <c:pt idx="4">
                  <c:v>55610</c:v>
                </c:pt>
                <c:pt idx="5">
                  <c:v>447502</c:v>
                </c:pt>
                <c:pt idx="6">
                  <c:v>585070</c:v>
                </c:pt>
                <c:pt idx="7">
                  <c:v>3866578</c:v>
                </c:pt>
                <c:pt idx="8">
                  <c:v>222578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47-4505-A5A8-AACEC7CDD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796032"/>
        <c:axId val="240797568"/>
      </c:barChart>
      <c:lineChart>
        <c:grouping val="standard"/>
        <c:varyColors val="0"/>
        <c:ser>
          <c:idx val="2"/>
          <c:order val="2"/>
          <c:tx>
            <c:strRef>
              <c:f>Sheet2!$D$18</c:f>
              <c:strCache>
                <c:ptCount val="1"/>
                <c:pt idx="0">
                  <c:v>DRUGE IZMJENE I DOPUNE</c:v>
                </c:pt>
              </c:strCache>
            </c:strRef>
          </c:tx>
          <c:marker>
            <c:symbol val="none"/>
          </c:marker>
          <c:cat>
            <c:strRef>
              <c:f>Sheet2!$A$19:$A$27</c:f>
              <c:strCache>
                <c:ptCount val="9"/>
                <c:pt idx="0">
                  <c:v>Rashodi za zaposlene (31)</c:v>
                </c:pt>
                <c:pt idx="1">
                  <c:v>Materijalni rashodi (32)</c:v>
                </c:pt>
                <c:pt idx="2">
                  <c:v>Financijski rashodi (34)</c:v>
                </c:pt>
                <c:pt idx="3">
                  <c:v>Subvencije (35)</c:v>
                </c:pt>
                <c:pt idx="4">
                  <c:v>Pomoći (36)</c:v>
                </c:pt>
                <c:pt idx="5">
                  <c:v>Naknade građanima i kućanstvima (37)</c:v>
                </c:pt>
                <c:pt idx="6">
                  <c:v>Ostali rashodi (38)</c:v>
                </c:pt>
                <c:pt idx="7">
                  <c:v>Rashodi za nabavu nef. Imovine  (4)</c:v>
                </c:pt>
                <c:pt idx="8">
                  <c:v>Izdaci za otplatu glavnice primljenih kredita i zajmova</c:v>
                </c:pt>
              </c:strCache>
            </c:strRef>
          </c:cat>
          <c:val>
            <c:numRef>
              <c:f>Sheet2!$D$19:$D$27</c:f>
              <c:numCache>
                <c:formatCode>#,##0</c:formatCode>
                <c:ptCount val="9"/>
                <c:pt idx="0">
                  <c:v>291446</c:v>
                </c:pt>
                <c:pt idx="1">
                  <c:v>1005979</c:v>
                </c:pt>
                <c:pt idx="2">
                  <c:v>31880</c:v>
                </c:pt>
                <c:pt idx="3">
                  <c:v>198007</c:v>
                </c:pt>
                <c:pt idx="4">
                  <c:v>56310</c:v>
                </c:pt>
                <c:pt idx="5">
                  <c:v>481367</c:v>
                </c:pt>
                <c:pt idx="6">
                  <c:v>416763</c:v>
                </c:pt>
                <c:pt idx="7">
                  <c:v>3201670</c:v>
                </c:pt>
                <c:pt idx="8">
                  <c:v>222578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47-4505-A5A8-AACEC7CDD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796032"/>
        <c:axId val="240797568"/>
      </c:lineChart>
      <c:catAx>
        <c:axId val="24079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sr-Latn-RS"/>
          </a:p>
        </c:txPr>
        <c:crossAx val="240797568"/>
        <c:crosses val="autoZero"/>
        <c:auto val="1"/>
        <c:lblAlgn val="ctr"/>
        <c:lblOffset val="100"/>
        <c:noMultiLvlLbl val="0"/>
      </c:catAx>
      <c:valAx>
        <c:axId val="24079756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sr-Latn-RS"/>
          </a:p>
        </c:txPr>
        <c:crossAx val="240796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600" baseline="0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D10C-D077-4C9C-AC82-A770AAF2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cp:lastModifiedBy>Martina Perhat</cp:lastModifiedBy>
  <cp:revision>7</cp:revision>
  <dcterms:created xsi:type="dcterms:W3CDTF">2023-11-02T09:59:00Z</dcterms:created>
  <dcterms:modified xsi:type="dcterms:W3CDTF">2023-11-08T15:28:00Z</dcterms:modified>
</cp:coreProperties>
</file>