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A4D" w:rsidRDefault="00CF1A4D" w:rsidP="00CF1A4D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0"/>
        <w:gridCol w:w="9006"/>
      </w:tblGrid>
      <w:tr w:rsidR="00CF1A4D" w:rsidTr="00CF1A4D">
        <w:trPr>
          <w:tblCellSpacing w:w="0" w:type="dxa"/>
        </w:trPr>
        <w:tc>
          <w:tcPr>
            <w:tcW w:w="0" w:type="auto"/>
            <w:hideMark/>
          </w:tcPr>
          <w:p w:rsidR="00CF1A4D" w:rsidRDefault="00CF1A4D"/>
        </w:tc>
        <w:tc>
          <w:tcPr>
            <w:tcW w:w="60" w:type="dxa"/>
            <w:vAlign w:val="center"/>
            <w:hideMark/>
          </w:tcPr>
          <w:p w:rsidR="00CF1A4D" w:rsidRDefault="00CF1A4D">
            <w:r>
              <w:t> </w:t>
            </w:r>
          </w:p>
        </w:tc>
        <w:tc>
          <w:tcPr>
            <w:tcW w:w="5000" w:type="pct"/>
            <w:hideMark/>
          </w:tcPr>
          <w:tbl>
            <w:tblPr>
              <w:tblW w:w="7224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"/>
              <w:gridCol w:w="6984"/>
              <w:gridCol w:w="120"/>
            </w:tblGrid>
            <w:tr w:rsidR="00CF1A4D">
              <w:trPr>
                <w:tblCellSpacing w:w="0" w:type="dxa"/>
                <w:jc w:val="center"/>
              </w:trPr>
              <w:tc>
                <w:tcPr>
                  <w:tcW w:w="84" w:type="dxa"/>
                  <w:vMerge w:val="restart"/>
                  <w:hideMark/>
                </w:tcPr>
                <w:p w:rsidR="00CF1A4D" w:rsidRDefault="00CF1A4D">
                  <w:r>
                    <w:rPr>
                      <w:noProof/>
                    </w:rPr>
                    <w:drawing>
                      <wp:inline distT="0" distB="0" distL="0" distR="0">
                        <wp:extent cx="68580" cy="68580"/>
                        <wp:effectExtent l="0" t="0" r="7620" b="7620"/>
                        <wp:docPr id="14" name="Slika 14" descr="http://www.sn.pgz.hr/slike/system/direct_crn_toplt_7x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sn.pgz.hr/slike/system/direct_crn_toplt_7x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" cy="68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632" w:type="dxa"/>
                  <w:shd w:val="clear" w:color="auto" w:fill="999999"/>
                  <w:vAlign w:val="center"/>
                  <w:hideMark/>
                </w:tcPr>
                <w:p w:rsidR="00CF1A4D" w:rsidRDefault="00CF1A4D">
                  <w:r>
                    <w:rPr>
                      <w:noProof/>
                    </w:rPr>
                    <w:drawing>
                      <wp:inline distT="0" distB="0" distL="0" distR="0">
                        <wp:extent cx="7620" cy="7620"/>
                        <wp:effectExtent l="0" t="0" r="0" b="0"/>
                        <wp:docPr id="13" name="Slika 13" descr="http://www.sn.pgz.hr/slike/system/cle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sn.pgz.hr/slike/system/cle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4" w:type="dxa"/>
                  <w:vMerge w:val="restart"/>
                  <w:hideMark/>
                </w:tcPr>
                <w:p w:rsidR="00CF1A4D" w:rsidRDefault="00CF1A4D">
                  <w:pPr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8580" cy="68580"/>
                        <wp:effectExtent l="0" t="0" r="7620" b="7620"/>
                        <wp:docPr id="12" name="Slika 12" descr="http://www.sn.pgz.hr/slike/system/direct_crn_toprt_7x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sn.pgz.hr/slike/system/direct_crn_toprt_7x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" cy="68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F1A4D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F1A4D" w:rsidRDefault="00CF1A4D"/>
              </w:tc>
              <w:tc>
                <w:tcPr>
                  <w:tcW w:w="5000" w:type="pct"/>
                  <w:shd w:val="clear" w:color="auto" w:fill="F5F5F5"/>
                  <w:vAlign w:val="center"/>
                  <w:hideMark/>
                </w:tcPr>
                <w:p w:rsidR="00CF1A4D" w:rsidRDefault="00CF1A4D">
                  <w:r>
                    <w:rPr>
                      <w:noProof/>
                    </w:rPr>
                    <w:drawing>
                      <wp:inline distT="0" distB="0" distL="0" distR="0">
                        <wp:extent cx="7620" cy="60960"/>
                        <wp:effectExtent l="0" t="0" r="0" b="0"/>
                        <wp:docPr id="11" name="Slika 11" descr="http://www.sn.pgz.hr/slike/system/cle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sn.pgz.hr/slike/system/cle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60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F1A4D" w:rsidRDefault="00CF1A4D"/>
              </w:tc>
            </w:tr>
          </w:tbl>
          <w:p w:rsidR="00CF1A4D" w:rsidRDefault="00CF1A4D">
            <w:pPr>
              <w:jc w:val="center"/>
              <w:rPr>
                <w:vanish/>
              </w:rPr>
            </w:pPr>
          </w:p>
          <w:tbl>
            <w:tblPr>
              <w:tblW w:w="72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"/>
              <w:gridCol w:w="7200"/>
              <w:gridCol w:w="12"/>
            </w:tblGrid>
            <w:tr w:rsidR="00CF1A4D">
              <w:trPr>
                <w:tblCellSpacing w:w="0" w:type="dxa"/>
                <w:jc w:val="center"/>
              </w:trPr>
              <w:tc>
                <w:tcPr>
                  <w:tcW w:w="12" w:type="dxa"/>
                  <w:shd w:val="clear" w:color="auto" w:fill="999999"/>
                  <w:vAlign w:val="center"/>
                  <w:hideMark/>
                </w:tcPr>
                <w:p w:rsidR="00CF1A4D" w:rsidRDefault="00CF1A4D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620" cy="7620"/>
                        <wp:effectExtent l="0" t="0" r="0" b="0"/>
                        <wp:docPr id="10" name="Slika 10" descr="http://www.sn.pgz.hr/slike/system/cle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sn.pgz.hr/slike/system/cle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shd w:val="clear" w:color="auto" w:fill="F5F5F5"/>
                  <w:vAlign w:val="center"/>
                  <w:hideMark/>
                </w:tcPr>
                <w:tbl>
                  <w:tblPr>
                    <w:tblW w:w="7200" w:type="dxa"/>
                    <w:tblCellSpacing w:w="0" w:type="dxa"/>
                    <w:tblCellMar>
                      <w:top w:w="36" w:type="dxa"/>
                      <w:left w:w="36" w:type="dxa"/>
                      <w:bottom w:w="36" w:type="dxa"/>
                      <w:right w:w="36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200"/>
                  </w:tblGrid>
                  <w:tr w:rsidR="00CF1A4D">
                    <w:trPr>
                      <w:trHeight w:val="384"/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564"/>
                          <w:gridCol w:w="3564"/>
                        </w:tblGrid>
                        <w:tr w:rsidR="00CF1A4D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2500" w:type="pct"/>
                              <w:vAlign w:val="center"/>
                              <w:hideMark/>
                            </w:tcPr>
                            <w:p w:rsidR="00CF1A4D" w:rsidRDefault="00CF1A4D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color w:val="0577B4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bCs/>
                                  <w:color w:val="0577B4"/>
                                  <w:sz w:val="23"/>
                                  <w:szCs w:val="23"/>
                                </w:rPr>
                                <w:t>Godina XIX. - broj 15.</w:t>
                              </w:r>
                            </w:p>
                          </w:tc>
                          <w:tc>
                            <w:tcPr>
                              <w:tcW w:w="2500" w:type="pct"/>
                              <w:vAlign w:val="center"/>
                              <w:hideMark/>
                            </w:tcPr>
                            <w:p w:rsidR="00CF1A4D" w:rsidRDefault="00CF1A4D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color w:val="0577B4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bCs/>
                                  <w:color w:val="0577B4"/>
                                  <w:sz w:val="23"/>
                                  <w:szCs w:val="23"/>
                                </w:rPr>
                                <w:t>Petak, 27. svibnja 2011.</w:t>
                              </w:r>
                            </w:p>
                          </w:tc>
                        </w:tr>
                      </w:tbl>
                      <w:p w:rsidR="00CF1A4D" w:rsidRDefault="00CF1A4D">
                        <w:r>
                          <w:rPr>
                            <w:rFonts w:ascii="Verdana" w:hAnsi="Verdana"/>
                            <w:b/>
                            <w:bCs/>
                            <w:noProof/>
                            <w:color w:val="0577B4"/>
                            <w:sz w:val="23"/>
                            <w:szCs w:val="23"/>
                          </w:rPr>
                          <w:drawing>
                            <wp:inline distT="0" distB="0" distL="0" distR="0">
                              <wp:extent cx="7620" cy="60960"/>
                              <wp:effectExtent l="0" t="0" r="0" b="0"/>
                              <wp:docPr id="9" name="Slika 9" descr="http://www.sn.pgz.hr/slike/system/clea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http://www.sn.pgz.hr/slike/system/clea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609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F1A4D" w:rsidRDefault="00CF1A4D"/>
              </w:tc>
              <w:tc>
                <w:tcPr>
                  <w:tcW w:w="12" w:type="dxa"/>
                  <w:shd w:val="clear" w:color="auto" w:fill="999999"/>
                  <w:vAlign w:val="center"/>
                  <w:hideMark/>
                </w:tcPr>
                <w:p w:rsidR="00CF1A4D" w:rsidRDefault="00CF1A4D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620" cy="7620"/>
                        <wp:effectExtent l="0" t="0" r="0" b="0"/>
                        <wp:docPr id="8" name="Slika 8" descr="http://www.sn.pgz.hr/slike/system/cle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sn.pgz.hr/slike/system/cle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F1A4D" w:rsidRDefault="00CF1A4D">
            <w:pPr>
              <w:jc w:val="center"/>
              <w:rPr>
                <w:vanish/>
              </w:rPr>
            </w:pPr>
          </w:p>
          <w:tbl>
            <w:tblPr>
              <w:tblW w:w="7224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"/>
              <w:gridCol w:w="8245"/>
              <w:gridCol w:w="12"/>
            </w:tblGrid>
            <w:tr w:rsidR="00CF1A4D">
              <w:trPr>
                <w:trHeight w:val="15"/>
                <w:tblCellSpacing w:w="0" w:type="dxa"/>
                <w:jc w:val="center"/>
              </w:trPr>
              <w:tc>
                <w:tcPr>
                  <w:tcW w:w="5000" w:type="pct"/>
                  <w:gridSpan w:val="3"/>
                  <w:shd w:val="clear" w:color="auto" w:fill="999999"/>
                  <w:vAlign w:val="center"/>
                  <w:hideMark/>
                </w:tcPr>
                <w:p w:rsidR="00CF1A4D" w:rsidRDefault="00CF1A4D">
                  <w:pPr>
                    <w:rPr>
                      <w:sz w:val="2"/>
                    </w:rPr>
                  </w:pPr>
                </w:p>
              </w:tc>
            </w:tr>
            <w:tr w:rsidR="00CF1A4D">
              <w:trPr>
                <w:trHeight w:val="1500"/>
                <w:tblCellSpacing w:w="0" w:type="dxa"/>
                <w:jc w:val="center"/>
              </w:trPr>
              <w:tc>
                <w:tcPr>
                  <w:tcW w:w="15" w:type="dxa"/>
                  <w:shd w:val="clear" w:color="auto" w:fill="999999"/>
                  <w:vAlign w:val="center"/>
                  <w:hideMark/>
                </w:tcPr>
                <w:p w:rsidR="00CF1A4D" w:rsidRDefault="00CF1A4D">
                  <w:r>
                    <w:rPr>
                      <w:noProof/>
                    </w:rPr>
                    <w:drawing>
                      <wp:inline distT="0" distB="0" distL="0" distR="0" wp14:anchorId="27020551" wp14:editId="1392ADF9">
                        <wp:extent cx="7620" cy="7620"/>
                        <wp:effectExtent l="0" t="0" r="0" b="0"/>
                        <wp:docPr id="7" name="Slika 7" descr="http://www.sn.pgz.hr/slike/system/cle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sn.pgz.hr/slike/system/cle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8245" w:type="dxa"/>
                    <w:jc w:val="center"/>
                    <w:tblCellSpacing w:w="0" w:type="dxa"/>
                    <w:shd w:val="clear" w:color="auto" w:fill="FFFFFF"/>
                    <w:tblCellMar>
                      <w:top w:w="120" w:type="dxa"/>
                      <w:left w:w="120" w:type="dxa"/>
                      <w:bottom w:w="120" w:type="dxa"/>
                      <w:right w:w="12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0"/>
                    <w:gridCol w:w="7435"/>
                  </w:tblGrid>
                  <w:tr w:rsidR="00CF1A4D" w:rsidTr="00CF1A4D">
                    <w:trPr>
                      <w:tblCellSpacing w:w="0" w:type="dxa"/>
                      <w:jc w:val="center"/>
                    </w:trPr>
                    <w:tc>
                      <w:tcPr>
                        <w:tcW w:w="810" w:type="dxa"/>
                        <w:shd w:val="clear" w:color="auto" w:fill="FFFFFF"/>
                        <w:vAlign w:val="center"/>
                        <w:hideMark/>
                      </w:tcPr>
                      <w:p w:rsidR="00CF1A4D" w:rsidRDefault="00CF1A4D">
                        <w:r>
                          <w:rPr>
                            <w:noProof/>
                          </w:rPr>
                          <w:drawing>
                            <wp:anchor distT="0" distB="0" distL="0" distR="0" simplePos="0" relativeHeight="251658240" behindDoc="0" locked="0" layoutInCell="1" allowOverlap="0" wp14:anchorId="7D28F01C" wp14:editId="26906D64">
                              <wp:simplePos x="0" y="0"/>
                              <wp:positionH relativeFrom="column">
                                <wp:align>left</wp:align>
                              </wp:positionH>
                              <wp:positionV relativeFrom="line">
                                <wp:posOffset>0</wp:posOffset>
                              </wp:positionV>
                              <wp:extent cx="352425" cy="476250"/>
                              <wp:effectExtent l="0" t="0" r="9525" b="0"/>
                              <wp:wrapSquare wrapText="bothSides"/>
                              <wp:docPr id="16" name="Slika 16" descr="http://www.sn.pgz.hr/slika.asp?iz=mjesta&amp;sto=cMjesto&amp;je=51218&amp;Naziv=jelenje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://www.sn.pgz.hr/slika.asp?iz=mjesta&amp;sto=cMjesto&amp;je=51218&amp;Naziv=jelenje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52425" cy="476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</w:p>
                    </w:tc>
                    <w:tc>
                      <w:tcPr>
                        <w:tcW w:w="7435" w:type="dxa"/>
                        <w:shd w:val="clear" w:color="auto" w:fill="FFFFFF"/>
                        <w:vAlign w:val="bottom"/>
                        <w:hideMark/>
                      </w:tcPr>
                      <w:p w:rsidR="00CF1A4D" w:rsidRDefault="00CF1A4D">
                        <w:pP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</w:pPr>
                        <w:r>
                          <w:rPr>
                            <w:rFonts w:ascii="Verdana" w:hAnsi="Verdan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 xml:space="preserve">OPĆINA JELENJE </w:t>
                        </w:r>
                      </w:p>
                    </w:tc>
                  </w:tr>
                  <w:tr w:rsidR="00CF1A4D" w:rsidTr="00CB457D">
                    <w:trPr>
                      <w:trHeight w:val="12922"/>
                      <w:tblCellSpacing w:w="0" w:type="dxa"/>
                      <w:jc w:val="center"/>
                    </w:trPr>
                    <w:tc>
                      <w:tcPr>
                        <w:tcW w:w="8245" w:type="dxa"/>
                        <w:gridSpan w:val="2"/>
                        <w:shd w:val="clear" w:color="auto" w:fill="FFFFFF"/>
                        <w:vAlign w:val="center"/>
                      </w:tcPr>
                      <w:p w:rsidR="00CF1A4D" w:rsidRDefault="00CF1A4D" w:rsidP="00CF1A4D">
                        <w:pPr>
                          <w:pStyle w:val="Naslov1"/>
                        </w:pPr>
                        <w:r>
                          <w:lastRenderedPageBreak/>
                          <w:t>5.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Općinsko vijeće Općine Jelenje na temelju članaka 28. Statuta Općine Jelenje na svojoj sjednici održanoj 17. ožujka 2011. godine donosi sljedeću Odluku.</w:t>
                        </w:r>
                      </w:p>
                      <w:p w:rsidR="00CF1A4D" w:rsidRDefault="00CF1A4D" w:rsidP="00CF1A4D">
                        <w:pPr>
                          <w:pStyle w:val="StandardWeb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ODLUKA</w:t>
                        </w:r>
                        <w:r>
                          <w:rPr>
                            <w:b/>
                            <w:bCs/>
                          </w:rPr>
                          <w:br/>
                          <w:t>o javnim priznanjima Općine Jelenje</w:t>
                        </w:r>
                      </w:p>
                      <w:p w:rsidR="0020428A" w:rsidRPr="0020428A" w:rsidRDefault="0020428A" w:rsidP="0020428A">
                        <w:pPr>
                          <w:pStyle w:val="Sadrajitablice"/>
                          <w:spacing w:before="6"/>
                          <w:jc w:val="center"/>
                          <w:rPr>
                            <w:rFonts w:cs="Times New Roman"/>
                            <w:b/>
                            <w:color w:val="FF0000"/>
                          </w:rPr>
                        </w:pPr>
                        <w:r w:rsidRPr="0020428A">
                          <w:rPr>
                            <w:rFonts w:cs="Times New Roman"/>
                            <w:b/>
                            <w:color w:val="FF0000"/>
                          </w:rPr>
                          <w:t>Članak 1.a</w:t>
                        </w:r>
                      </w:p>
                      <w:p w:rsidR="0020428A" w:rsidRPr="0020428A" w:rsidRDefault="0020428A" w:rsidP="0020428A">
                        <w:pPr>
                          <w:spacing w:before="6"/>
                          <w:jc w:val="both"/>
                          <w:rPr>
                            <w:color w:val="FF0000"/>
                            <w:sz w:val="18"/>
                            <w:szCs w:val="18"/>
                          </w:rPr>
                        </w:pPr>
                        <w:r w:rsidRPr="0020428A">
                          <w:rPr>
                            <w:bCs/>
                            <w:color w:val="FF0000"/>
                          </w:rPr>
                          <w:t>Izrazi u ovom Zakonu koji imaju rodno značenje odnose se jednako na muški i ženski rod.</w:t>
                        </w:r>
                      </w:p>
                      <w:p w:rsidR="00CF1A4D" w:rsidRDefault="00CF1A4D" w:rsidP="00CF1A4D">
                        <w:pPr>
                          <w:pStyle w:val="StandardWeb"/>
                          <w:jc w:val="center"/>
                        </w:pPr>
                        <w:r>
                          <w:t>Članak 1.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Općina Jelenje dodjeljuje jednom godišnje slijedeća javna priznanja: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1</w:t>
                        </w:r>
                        <w:bookmarkStart w:id="0" w:name="_Hlk24022448"/>
                        <w:r>
                          <w:t>. Nagrada pojedincu za životno djelo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2. Nagrada pojedincu za uspjehe u prethodnoj godini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3. Nagrada kolektivu za doprinos razvoju Općine Jelenje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4. Proglašenje pojedinca počasnim građaninom Općine Jelenje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5. Nagrada za najuređeniju okućnicu</w:t>
                        </w:r>
                      </w:p>
                      <w:p w:rsidR="00CF1A4D" w:rsidRPr="0059396B" w:rsidRDefault="00CF1A4D" w:rsidP="00CF1A4D">
                        <w:pPr>
                          <w:pStyle w:val="StandardWeb"/>
                          <w:rPr>
                            <w:color w:val="auto"/>
                          </w:rPr>
                        </w:pPr>
                        <w:r w:rsidRPr="0059396B">
                          <w:rPr>
                            <w:color w:val="auto"/>
                            <w:highlight w:val="yellow"/>
                          </w:rPr>
                          <w:t>6</w:t>
                        </w:r>
                        <w:r w:rsidRPr="0059396B">
                          <w:rPr>
                            <w:strike/>
                            <w:color w:val="auto"/>
                            <w:highlight w:val="yellow"/>
                          </w:rPr>
                          <w:t>. Nagrada za najuređeniji balkon/terasu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7. Nagrada najboljem učeniku Osnovne škole Jelenje- Dražice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8. Nagrada najboljem srednjoškolcu s područja Općine Jelenje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9. Nagrada najboljem studentu preddiplomskog studija s područja Općine Jelenje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10. Nagrada najboljem studentu diplomskog studija s područja Općine Jelenje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bookmarkStart w:id="1" w:name="_Hlk24152229"/>
                        <w:r>
                          <w:t xml:space="preserve">11. </w:t>
                        </w:r>
                        <w:r w:rsidR="00580F3E" w:rsidRPr="00580F3E">
                          <w:rPr>
                            <w:strike/>
                          </w:rPr>
                          <w:t>Javno priznanje na</w:t>
                        </w:r>
                        <w:r w:rsidR="00580F3E">
                          <w:rPr>
                            <w:strike/>
                          </w:rPr>
                          <w:t>j</w:t>
                        </w:r>
                        <w:r w:rsidR="00580F3E" w:rsidRPr="00580F3E">
                          <w:rPr>
                            <w:strike/>
                          </w:rPr>
                          <w:t>us</w:t>
                        </w:r>
                        <w:r w:rsidR="00580F3E">
                          <w:rPr>
                            <w:strike/>
                          </w:rPr>
                          <w:t xml:space="preserve">pješnijem sportašu </w:t>
                        </w:r>
                        <w:r w:rsidRPr="00580F3E">
                          <w:rPr>
                            <w:strike/>
                          </w:rPr>
                          <w:t xml:space="preserve"> Općine Jelenje</w:t>
                        </w:r>
                      </w:p>
                      <w:p w:rsidR="00580F3E" w:rsidRPr="00580F3E" w:rsidRDefault="00CF1A4D" w:rsidP="00CF1A4D">
                        <w:pPr>
                          <w:pStyle w:val="StandardWeb"/>
                          <w:rPr>
                            <w:strike/>
                          </w:rPr>
                        </w:pPr>
                        <w:r>
                          <w:t xml:space="preserve">12. </w:t>
                        </w:r>
                        <w:r w:rsidRPr="00580F3E">
                          <w:rPr>
                            <w:strike/>
                          </w:rPr>
                          <w:t>Nagrada najboljoj športašici Općine Jelenje</w:t>
                        </w:r>
                      </w:p>
                      <w:p w:rsidR="000A3C27" w:rsidRDefault="00CF1A4D" w:rsidP="000A3C27">
                        <w:pPr>
                          <w:pStyle w:val="StandardWeb"/>
                        </w:pPr>
                        <w:r>
                          <w:t xml:space="preserve">13. </w:t>
                        </w:r>
                        <w:r w:rsidRPr="00580F3E">
                          <w:rPr>
                            <w:strike/>
                          </w:rPr>
                          <w:t>Nagrada najboljoj športskoj ekipi Općine Jelenje</w:t>
                        </w:r>
                        <w:r w:rsidR="000A3C27">
                          <w:t xml:space="preserve"> </w:t>
                        </w:r>
                      </w:p>
                      <w:p w:rsidR="00580F3E" w:rsidRDefault="00580F3E" w:rsidP="000A3C27">
                        <w:pPr>
                          <w:pStyle w:val="StandardWeb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11. </w:t>
                        </w:r>
                        <w:r w:rsidRPr="00580F3E">
                          <w:rPr>
                            <w:color w:val="FF0000"/>
                          </w:rPr>
                          <w:t>Javno priznanje najuspješnijem sportašu/sportašici Općine Jelenje</w:t>
                        </w:r>
                      </w:p>
                      <w:p w:rsidR="00580F3E" w:rsidRDefault="00580F3E" w:rsidP="000A3C27">
                        <w:pPr>
                          <w:pStyle w:val="StandardWeb"/>
                        </w:pPr>
                        <w:r w:rsidRPr="00580F3E">
                          <w:rPr>
                            <w:color w:val="FF0000"/>
                          </w:rPr>
                          <w:t>12.</w:t>
                        </w:r>
                        <w:r>
                          <w:t xml:space="preserve"> </w:t>
                        </w:r>
                        <w:r w:rsidRPr="00580F3E">
                          <w:rPr>
                            <w:color w:val="FF0000"/>
                          </w:rPr>
                          <w:t>Javno priznanje najuspješnij</w:t>
                        </w:r>
                        <w:r>
                          <w:rPr>
                            <w:color w:val="FF0000"/>
                          </w:rPr>
                          <w:t>oj ekip</w:t>
                        </w:r>
                        <w:r w:rsidR="0059396B">
                          <w:rPr>
                            <w:color w:val="FF0000"/>
                          </w:rPr>
                          <w:t>i</w:t>
                        </w:r>
                        <w:r>
                          <w:rPr>
                            <w:color w:val="FF0000"/>
                          </w:rPr>
                          <w:t xml:space="preserve"> (muška/ženska)</w:t>
                        </w:r>
                      </w:p>
                      <w:p w:rsidR="000A3C27" w:rsidRPr="000A3C27" w:rsidRDefault="000A3C27" w:rsidP="000A3C27">
                        <w:pPr>
                          <w:pStyle w:val="StandardWeb"/>
                          <w:rPr>
                            <w:color w:val="FF0000"/>
                          </w:rPr>
                        </w:pPr>
                        <w:bookmarkStart w:id="2" w:name="_Hlk24017831"/>
                        <w:r w:rsidRPr="000A3C27">
                          <w:rPr>
                            <w:color w:val="FF0000"/>
                          </w:rPr>
                          <w:t>1</w:t>
                        </w:r>
                        <w:r w:rsidR="00580F3E">
                          <w:rPr>
                            <w:color w:val="FF0000"/>
                          </w:rPr>
                          <w:t>3</w:t>
                        </w:r>
                        <w:r w:rsidRPr="000A3C27">
                          <w:rPr>
                            <w:color w:val="FF0000"/>
                          </w:rPr>
                          <w:t xml:space="preserve">. Nagrada najuspješnijem sportskom djelatniku </w:t>
                        </w:r>
                      </w:p>
                      <w:bookmarkEnd w:id="1"/>
                      <w:p w:rsidR="000A3C27" w:rsidRPr="00580F3E" w:rsidRDefault="000A3C27" w:rsidP="000A3C27">
                        <w:pPr>
                          <w:pStyle w:val="StandardWeb"/>
                          <w:rPr>
                            <w:color w:val="FF0000"/>
                          </w:rPr>
                        </w:pPr>
                        <w:r w:rsidRPr="004A535F">
                          <w:rPr>
                            <w:color w:val="FF0000"/>
                          </w:rPr>
                          <w:t>1</w:t>
                        </w:r>
                        <w:bookmarkStart w:id="3" w:name="_Hlk24152292"/>
                        <w:r w:rsidR="0059396B" w:rsidRPr="004A535F">
                          <w:rPr>
                            <w:color w:val="FF0000"/>
                          </w:rPr>
                          <w:t>4</w:t>
                        </w:r>
                        <w:r w:rsidRPr="004A535F">
                          <w:rPr>
                            <w:color w:val="FF0000"/>
                          </w:rPr>
                          <w:t>. Posebna nagrada sportašima i sportskim ekipama za ostvarena izuzetna sportska postignuća</w:t>
                        </w:r>
                      </w:p>
                      <w:bookmarkEnd w:id="0"/>
                      <w:bookmarkEnd w:id="2"/>
                      <w:bookmarkEnd w:id="3"/>
                      <w:p w:rsidR="00CF1A4D" w:rsidRDefault="00CF1A4D" w:rsidP="00CF1A4D">
                        <w:pPr>
                          <w:pStyle w:val="StandardWeb"/>
                          <w:jc w:val="center"/>
                        </w:pPr>
                        <w:r>
                          <w:t>Članak 2.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 xml:space="preserve">Prijedloge za </w:t>
                        </w:r>
                        <w:r w:rsidRPr="004A535F">
                          <w:rPr>
                            <w:strike/>
                            <w:highlight w:val="yellow"/>
                          </w:rPr>
                          <w:t>gore navedene nagrade</w:t>
                        </w:r>
                        <w:r>
                          <w:t xml:space="preserve"> </w:t>
                        </w:r>
                        <w:bookmarkStart w:id="4" w:name="_Hlk24450657"/>
                        <w:r w:rsidR="004A535F" w:rsidRPr="004A535F">
                          <w:rPr>
                            <w:color w:val="FF0000"/>
                          </w:rPr>
                          <w:t xml:space="preserve">javna priznanja iz članka 1. točki 1. do 10. </w:t>
                        </w:r>
                        <w:bookmarkEnd w:id="4"/>
                        <w:r>
                          <w:t>može podnijeti bilo koji punoljetan građanin s prebivalištem u Općini Jelenje ili Udruga sa sjedištem u Općini Jelenje.</w:t>
                        </w:r>
                      </w:p>
                      <w:p w:rsidR="004A535F" w:rsidRPr="004A535F" w:rsidRDefault="004A535F" w:rsidP="004A535F">
                        <w:pPr>
                          <w:pStyle w:val="StandardWeb"/>
                          <w:jc w:val="both"/>
                          <w:rPr>
                            <w:color w:val="FF0000"/>
                          </w:rPr>
                        </w:pPr>
                        <w:bookmarkStart w:id="5" w:name="_Hlk24450702"/>
                        <w:r w:rsidRPr="004A535F">
                          <w:rPr>
                            <w:color w:val="FF0000"/>
                          </w:rPr>
                          <w:t>Prijedloge za javna priznanja iz članka 1. točki 1</w:t>
                        </w:r>
                        <w:r>
                          <w:rPr>
                            <w:color w:val="FF0000"/>
                          </w:rPr>
                          <w:t>1</w:t>
                        </w:r>
                        <w:r w:rsidRPr="004A535F">
                          <w:rPr>
                            <w:color w:val="FF0000"/>
                          </w:rPr>
                          <w:t>. do 1</w:t>
                        </w:r>
                        <w:r>
                          <w:rPr>
                            <w:color w:val="FF0000"/>
                          </w:rPr>
                          <w:t>4</w:t>
                        </w:r>
                        <w:r w:rsidRPr="004A535F">
                          <w:rPr>
                            <w:color w:val="FF0000"/>
                          </w:rPr>
                          <w:t>. mogu dati udruge, zajednica sportova te sportski savezi</w:t>
                        </w:r>
                        <w:r>
                          <w:rPr>
                            <w:color w:val="FF0000"/>
                          </w:rPr>
                          <w:t>.</w:t>
                        </w:r>
                        <w:r w:rsidRPr="004A535F">
                          <w:rPr>
                            <w:color w:val="FF0000"/>
                          </w:rPr>
                          <w:t xml:space="preserve"> </w:t>
                        </w:r>
                      </w:p>
                      <w:bookmarkEnd w:id="5"/>
                      <w:p w:rsidR="00CF1A4D" w:rsidRDefault="00CF1A4D" w:rsidP="00CF1A4D">
                        <w:pPr>
                          <w:pStyle w:val="StandardWeb"/>
                          <w:jc w:val="center"/>
                        </w:pPr>
                        <w:r>
                          <w:t>Članak 3.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Natječaj za sva javna priznanja Općine Jelenje raspisuje Načelnik Općine Jelenje.</w:t>
                        </w:r>
                      </w:p>
                      <w:p w:rsidR="006A7F0D" w:rsidRDefault="006A7F0D" w:rsidP="00CF1A4D">
                        <w:pPr>
                          <w:pStyle w:val="StandardWeb"/>
                        </w:pP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Za nagrade pod rednim brojevima od 1. do 8. natječaj se raspisuje svake godine u posljednjem radnom tjednu u kolovozu, a za nagrade pod rednim brojevima od 9. do 13. u prvom radnom tjednu u prosincu. U oba slučaj rok za prijavu na natječaj je 10 dana.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Natječaj se obavezno objavljuje na web stranici Općini Jelenje, te na oglasnim pločama Općine Jelenje, a za natječaj o nagradama pod rednim brojevima od 11. do 13. se pismeno obavještavaju i sve športske Udruge sa sjedištem u Općini Jelenje.</w:t>
                        </w:r>
                      </w:p>
                      <w:p w:rsidR="00CF1A4D" w:rsidRDefault="00CF1A4D" w:rsidP="00CF1A4D">
                        <w:pPr>
                          <w:pStyle w:val="StandardWeb"/>
                          <w:jc w:val="center"/>
                        </w:pPr>
                        <w:r>
                          <w:t>Članak 4.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Općinski odbor za izbor i imenovanje utvrđuje listu pravovaljanih prijava na natječaj pod rednim bojevima od 1. do 4.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Općinsko vijeće svake godine, na prijedlog općinskog načelnika, donosi Odluku o broju i vrsti nagrada navedenih pod brojevima od 1. do 4. , ovisno o prispjelim kandidatima na natječaju.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 xml:space="preserve">Nagrade pod rednim brojevima od 1. do 3. se sastoje od plakete i novčanog iznosa koji se utvrđuje svake godine ovisno o sredstvima </w:t>
                        </w:r>
                        <w:proofErr w:type="spellStart"/>
                        <w:r>
                          <w:t>osigurnim</w:t>
                        </w:r>
                        <w:proofErr w:type="spellEnd"/>
                        <w:r>
                          <w:t xml:space="preserve"> u općinskom proračunu.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Za nagradu pod rednim brojem 4. se uručuje plaketa, bez novčanog iznosa.</w:t>
                        </w:r>
                      </w:p>
                      <w:p w:rsidR="00CF1A4D" w:rsidRDefault="00CF1A4D" w:rsidP="00CF1A4D">
                        <w:pPr>
                          <w:pStyle w:val="StandardWeb"/>
                          <w:jc w:val="center"/>
                        </w:pPr>
                        <w:r>
                          <w:t>Članak 5.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bookmarkStart w:id="6" w:name="_Hlk517330146"/>
                        <w:r>
                          <w:t xml:space="preserve">Odbor za prostorno i urbanističko planiranje, uređenje naselja i stanovanja, zaštitu i unapređenje prirodnog okoliša utvrđuje listu pravovaljanih prijava na natječaj pod rednim brojevima 5. </w:t>
                        </w:r>
                        <w:r w:rsidRPr="004120C1">
                          <w:rPr>
                            <w:strike/>
                            <w:color w:val="FF0000"/>
                          </w:rPr>
                          <w:t>i 6</w:t>
                        </w:r>
                        <w:r w:rsidRPr="004120C1">
                          <w:rPr>
                            <w:color w:val="FF0000"/>
                          </w:rPr>
                          <w:t>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 xml:space="preserve">Odluku o nagradama pod rednim brojevima 5. </w:t>
                        </w:r>
                        <w:r w:rsidRPr="004120C1">
                          <w:rPr>
                            <w:strike/>
                            <w:color w:val="FF0000"/>
                          </w:rPr>
                          <w:t>i 6.</w:t>
                        </w:r>
                        <w:r w:rsidRPr="004120C1">
                          <w:rPr>
                            <w:color w:val="FF0000"/>
                          </w:rPr>
                          <w:t xml:space="preserve"> </w:t>
                        </w:r>
                        <w:r>
                          <w:t>donosi Općinsko vijeće na prijedlog Općinskog za prostorno i urbanističko planiranje, uređenje naselja i stanovanja, zaštitu i unapređenje prirodnog okoliša.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 xml:space="preserve">Nagrađuju se 3 najuređenije okućnice </w:t>
                        </w:r>
                        <w:r w:rsidRPr="004120C1">
                          <w:rPr>
                            <w:strike/>
                            <w:color w:val="FF0000"/>
                          </w:rPr>
                          <w:t>i 3 balkona/terase</w:t>
                        </w:r>
                        <w:r>
                          <w:t>. Nagrade se sastoje od pismenih priznanja i novčanih iznosa koji se utvrđuju svake godine ovisno o sredstvima osiguranim u općinskom proračunu.</w:t>
                        </w:r>
                      </w:p>
                      <w:bookmarkEnd w:id="6"/>
                      <w:p w:rsidR="00CF1A4D" w:rsidRDefault="00CF1A4D" w:rsidP="00CF1A4D">
                        <w:pPr>
                          <w:pStyle w:val="StandardWeb"/>
                          <w:jc w:val="center"/>
                        </w:pPr>
                        <w:r>
                          <w:t>Članak 6.</w:t>
                        </w:r>
                      </w:p>
                      <w:p w:rsidR="00CF1A4D" w:rsidRPr="004120C1" w:rsidRDefault="00CF1A4D" w:rsidP="00CF1A4D">
                        <w:pPr>
                          <w:pStyle w:val="StandardWeb"/>
                          <w:rPr>
                            <w:strike/>
                          </w:rPr>
                        </w:pPr>
                        <w:r w:rsidRPr="004120C1">
                          <w:rPr>
                            <w:strike/>
                          </w:rPr>
                          <w:t>Općinski odbor za kulturu, odgoj i osnovno obrazovanje utvrđuje rang - listu pravovaljanih prijedloga za nagradu pod rednim brojem 7.</w:t>
                        </w:r>
                      </w:p>
                      <w:p w:rsidR="00CF1A4D" w:rsidRPr="008C68DA" w:rsidRDefault="00CF1A4D" w:rsidP="00CF1A4D">
                        <w:pPr>
                          <w:pStyle w:val="StandardWeb"/>
                          <w:rPr>
                            <w:strike/>
                            <w:color w:val="FF0000"/>
                          </w:rPr>
                        </w:pPr>
                        <w:bookmarkStart w:id="7" w:name="_Hlk517330233"/>
                        <w:r w:rsidRPr="008C68DA">
                          <w:rPr>
                            <w:strike/>
                            <w:color w:val="FF0000"/>
                          </w:rPr>
                          <w:t>Nagradu pod rednim brojem 7. dobiva učenik koji je završio osmi razred osnovne škole Jelenje Dražice u godini raspisivanja natječaja i koji je od prijavljenih na natječaju sakupio najviše bodova.</w:t>
                        </w:r>
                      </w:p>
                      <w:bookmarkEnd w:id="7"/>
                      <w:p w:rsidR="00CF1A4D" w:rsidRPr="004120C1" w:rsidRDefault="00CF1A4D" w:rsidP="00CF1A4D">
                        <w:pPr>
                          <w:pStyle w:val="StandardWeb"/>
                          <w:rPr>
                            <w:strike/>
                          </w:rPr>
                        </w:pPr>
                        <w:r w:rsidRPr="004120C1">
                          <w:rPr>
                            <w:strike/>
                          </w:rPr>
                          <w:t>Prosjek svih zaključenih ocjena daje startni broj bodova kojemu se pridodaju bodovi za ostvarene plasmane.</w:t>
                        </w:r>
                      </w:p>
                      <w:p w:rsidR="00CF1A4D" w:rsidRPr="004120C1" w:rsidRDefault="00CF1A4D" w:rsidP="00CF1A4D">
                        <w:pPr>
                          <w:pStyle w:val="StandardWeb"/>
                          <w:rPr>
                            <w:strike/>
                          </w:rPr>
                        </w:pPr>
                        <w:r w:rsidRPr="004120C1">
                          <w:rPr>
                            <w:strike/>
                          </w:rPr>
                          <w:t>Županijsko natjecanje: 1. mjesto 0.2 boda</w:t>
                        </w:r>
                      </w:p>
                      <w:p w:rsidR="00CF1A4D" w:rsidRPr="004120C1" w:rsidRDefault="00CF1A4D" w:rsidP="00CF1A4D">
                        <w:pPr>
                          <w:pStyle w:val="StandardWeb"/>
                          <w:rPr>
                            <w:strike/>
                          </w:rPr>
                        </w:pPr>
                        <w:r w:rsidRPr="004120C1">
                          <w:rPr>
                            <w:strike/>
                          </w:rPr>
                          <w:t>2. mjesto 0.15 bodova</w:t>
                        </w:r>
                      </w:p>
                      <w:p w:rsidR="00CF1A4D" w:rsidRPr="004120C1" w:rsidRDefault="00CF1A4D" w:rsidP="00CF1A4D">
                        <w:pPr>
                          <w:pStyle w:val="StandardWeb"/>
                          <w:rPr>
                            <w:strike/>
                          </w:rPr>
                        </w:pPr>
                        <w:r w:rsidRPr="004120C1">
                          <w:rPr>
                            <w:strike/>
                          </w:rPr>
                          <w:t>3. mjesto 0.1 bod</w:t>
                        </w:r>
                      </w:p>
                      <w:p w:rsidR="00CF1A4D" w:rsidRPr="004120C1" w:rsidRDefault="00CF1A4D" w:rsidP="00CF1A4D">
                        <w:pPr>
                          <w:pStyle w:val="StandardWeb"/>
                          <w:rPr>
                            <w:strike/>
                          </w:rPr>
                        </w:pPr>
                        <w:r w:rsidRPr="004120C1">
                          <w:rPr>
                            <w:strike/>
                          </w:rPr>
                          <w:t>Državno natjecanje:1. mjesto 0.5 bodova</w:t>
                        </w:r>
                      </w:p>
                      <w:p w:rsidR="00CF1A4D" w:rsidRPr="004120C1" w:rsidRDefault="00CF1A4D" w:rsidP="00CF1A4D">
                        <w:pPr>
                          <w:pStyle w:val="StandardWeb"/>
                          <w:rPr>
                            <w:strike/>
                          </w:rPr>
                        </w:pPr>
                        <w:r w:rsidRPr="004120C1">
                          <w:rPr>
                            <w:strike/>
                          </w:rPr>
                          <w:t>2. mjesto 0.45 bodova</w:t>
                        </w:r>
                      </w:p>
                      <w:p w:rsidR="00CF1A4D" w:rsidRPr="004120C1" w:rsidRDefault="00CF1A4D" w:rsidP="00CF1A4D">
                        <w:pPr>
                          <w:pStyle w:val="StandardWeb"/>
                          <w:rPr>
                            <w:strike/>
                          </w:rPr>
                        </w:pPr>
                        <w:r w:rsidRPr="004120C1">
                          <w:rPr>
                            <w:strike/>
                          </w:rPr>
                          <w:t>3. mjesto 0.40 bodova</w:t>
                        </w:r>
                      </w:p>
                      <w:p w:rsidR="00CF1A4D" w:rsidRPr="004120C1" w:rsidRDefault="00CF1A4D" w:rsidP="00CF1A4D">
                        <w:pPr>
                          <w:pStyle w:val="StandardWeb"/>
                          <w:rPr>
                            <w:strike/>
                          </w:rPr>
                        </w:pPr>
                        <w:r w:rsidRPr="004120C1">
                          <w:rPr>
                            <w:strike/>
                          </w:rPr>
                          <w:t>4. mjesto 0.35 bodova</w:t>
                        </w:r>
                      </w:p>
                      <w:p w:rsidR="00CF1A4D" w:rsidRPr="004120C1" w:rsidRDefault="00CF1A4D" w:rsidP="00CF1A4D">
                        <w:pPr>
                          <w:pStyle w:val="StandardWeb"/>
                          <w:rPr>
                            <w:strike/>
                          </w:rPr>
                        </w:pPr>
                        <w:r w:rsidRPr="004120C1">
                          <w:rPr>
                            <w:strike/>
                          </w:rPr>
                          <w:t>5. mjesto 0.30 bodova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Nagrada se sastoji od pismenog priznanja i novčanog iznosa koji se utvrđuje svake godine ovisno o sredstvima osiguranim u proračunu.</w:t>
                        </w:r>
                      </w:p>
                      <w:p w:rsidR="00CF1A4D" w:rsidRDefault="00CF1A4D" w:rsidP="00CF1A4D">
                        <w:pPr>
                          <w:pStyle w:val="StandardWeb"/>
                          <w:jc w:val="center"/>
                        </w:pPr>
                        <w:r>
                          <w:t>Članak 7.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 w:rsidRPr="005A5B0B">
                          <w:rPr>
                            <w:strike/>
                          </w:rPr>
                          <w:t>Općinski odbor za prosvjetu i kulturu</w:t>
                        </w:r>
                        <w:r>
                          <w:t xml:space="preserve"> </w:t>
                        </w:r>
                        <w:r w:rsidR="005A5B0B">
                          <w:t xml:space="preserve"> </w:t>
                        </w:r>
                        <w:r w:rsidR="005A5B0B" w:rsidRPr="005A5B0B">
                          <w:rPr>
                            <w:color w:val="FF0000"/>
                          </w:rPr>
                          <w:t>Odbor za kulturu, odgoj i osnovno obrazovanje</w:t>
                        </w:r>
                        <w:r w:rsidR="005A5B0B">
                          <w:t xml:space="preserve"> </w:t>
                        </w:r>
                        <w:r>
                          <w:t>utvrđuje rang - listu pravovaljanih prijedloga za nagradu pod rednim brojem 8.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Nagradu pod rednim brojem 8. dobiva učenik s prebivalištem na području Općine Jelenje koji je završio srednjoškolsko obrazovanje u godini raspisivanja natječaja i koji je od prijavljenih na natječaju sakupio najviše bodova.</w:t>
                        </w:r>
                      </w:p>
                      <w:p w:rsidR="004A535F" w:rsidRDefault="004A535F" w:rsidP="00CF1A4D">
                        <w:pPr>
                          <w:pStyle w:val="StandardWeb"/>
                        </w:pP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Prosjek ocjena tijekom pohađanja srednjoškolskog obrazovanja daje startni broj bodova kojemu se pridodaju bodovi za ostvarene plasmane na natjecanjima.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Županijsko natjecanje: 1. mjesto 0.2 boda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2. mjesto 0.15 bodova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3. mjesto 0.1 bod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Državno natjecanje: 1. mjesto 0.5 bodova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2. mjesto 0.45 bodova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3. mjesto 0.40 bodova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4. mjesto 0.35 bodova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5. mjesto 0.30 bodova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Dodaju se i bodovi za rezultate ostvareni na državnoj maturi - viši nivo iz matematike, hrvatskog jezika i engleskog jezika kako slijedi: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Više od 90% točnih odgovora 0.1 bod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Više od 80% točnih odgovora 0.07 bodova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Više od 70% točnih odgovora 0.05 bodova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Nagrada se sastoji od pismenog priznanja i novčanog iznosa koji se utvrđuje svake godine ovisno o sredstvima osiguranim u proračunu.</w:t>
                        </w:r>
                      </w:p>
                      <w:p w:rsidR="00CF1A4D" w:rsidRDefault="00CF1A4D" w:rsidP="00CF1A4D">
                        <w:pPr>
                          <w:pStyle w:val="StandardWeb"/>
                          <w:jc w:val="center"/>
                        </w:pPr>
                        <w:r>
                          <w:t>Članak 8.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bookmarkStart w:id="8" w:name="_Hlk24450856"/>
                        <w:r w:rsidRPr="005A5B0B">
                          <w:rPr>
                            <w:strike/>
                          </w:rPr>
                          <w:t>Općinski odbor za prosvjetu i kulturu</w:t>
                        </w:r>
                        <w:r>
                          <w:t xml:space="preserve"> </w:t>
                        </w:r>
                        <w:r w:rsidR="005A5B0B">
                          <w:t xml:space="preserve">  </w:t>
                        </w:r>
                        <w:r w:rsidR="005A5B0B" w:rsidRPr="005A5B0B">
                          <w:rPr>
                            <w:color w:val="FF0000"/>
                          </w:rPr>
                          <w:t>Odbor za kulturu, odgoj i osnovno obrazovanje</w:t>
                        </w:r>
                        <w:r w:rsidR="005A5B0B">
                          <w:t xml:space="preserve"> </w:t>
                        </w:r>
                        <w:r>
                          <w:t>u</w:t>
                        </w:r>
                        <w:bookmarkEnd w:id="8"/>
                        <w:r>
                          <w:t>tvrđuje listu pravovaljanih prijedloga za nagrade pod rednim brojevima 9. i 10.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Nagradu pod rednim brojem 9. dobiva student s prebivalištem na području Općine Jelenje koji je završio preddiplomski studij s najvišim prosjekom svih zaključenih ocjena tijekom studiranja od prijavljenih na natječaju u godini raspisivanja natječaja.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Nagradu pod rednim brojem 10. dobiva student s prebivalištem na području Općine Jelenje koji je završio diplomski studij s najvišim prosjekom svih zaključenih ocjena tijekom studiranja od prijavljenih na natječaju u godini raspisivanja natječaja.</w:t>
                        </w:r>
                      </w:p>
                      <w:p w:rsidR="004A535F" w:rsidRDefault="004A535F" w:rsidP="00CF1A4D">
                        <w:pPr>
                          <w:pStyle w:val="StandardWeb"/>
                        </w:pP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Nagrade se sastoje od pismenog priznanja i novčanog iznosa koji se utvrđuje svake godine ovisno o sredstvima osiguranim u proračunu.</w:t>
                        </w:r>
                      </w:p>
                      <w:p w:rsidR="00CF1A4D" w:rsidRDefault="00CF1A4D" w:rsidP="00CF1A4D">
                        <w:pPr>
                          <w:pStyle w:val="StandardWeb"/>
                          <w:jc w:val="center"/>
                        </w:pPr>
                        <w:r>
                          <w:t>Članak 9.</w:t>
                        </w:r>
                      </w:p>
                      <w:p w:rsidR="00CF1A4D" w:rsidRPr="0059396B" w:rsidRDefault="00CF1A4D" w:rsidP="00CF1A4D">
                        <w:pPr>
                          <w:pStyle w:val="StandardWeb"/>
                        </w:pPr>
                        <w:r>
                          <w:t xml:space="preserve">Općinski odbor za šport utvrđuje listu pravovaljanih prijedloga za nagrade pod rednim brojevima od 11. do </w:t>
                        </w:r>
                        <w:r w:rsidRPr="0059396B">
                          <w:rPr>
                            <w:strike/>
                            <w:highlight w:val="yellow"/>
                          </w:rPr>
                          <w:t>13</w:t>
                        </w:r>
                        <w:r w:rsidR="0059396B" w:rsidRPr="0059396B">
                          <w:rPr>
                            <w:highlight w:val="yellow"/>
                          </w:rPr>
                          <w:t xml:space="preserve"> </w:t>
                        </w:r>
                        <w:r w:rsidR="0059396B" w:rsidRPr="0059396B">
                          <w:t xml:space="preserve"> </w:t>
                        </w:r>
                        <w:r w:rsidR="0059396B" w:rsidRPr="0059396B">
                          <w:rPr>
                            <w:color w:val="FF0000"/>
                          </w:rPr>
                          <w:t>14</w:t>
                        </w:r>
                        <w:r w:rsidRPr="0059396B">
                          <w:rPr>
                            <w:color w:val="FF0000"/>
                          </w:rPr>
                          <w:t>.</w:t>
                        </w:r>
                      </w:p>
                      <w:p w:rsidR="00EA4366" w:rsidRDefault="00CF1A4D" w:rsidP="00CF1A4D">
                        <w:pPr>
                          <w:pStyle w:val="StandardWeb"/>
                        </w:pPr>
                        <w:r>
                          <w:t xml:space="preserve">Odluku o nagradama pod rednim brojevima od 11. do </w:t>
                        </w:r>
                        <w:r w:rsidRPr="0059396B">
                          <w:rPr>
                            <w:strike/>
                            <w:highlight w:val="yellow"/>
                          </w:rPr>
                          <w:t>13</w:t>
                        </w:r>
                        <w:r>
                          <w:t xml:space="preserve">. </w:t>
                        </w:r>
                        <w:r w:rsidR="0059396B" w:rsidRPr="0059396B">
                          <w:rPr>
                            <w:color w:val="FF0000"/>
                          </w:rPr>
                          <w:t>14.</w:t>
                        </w:r>
                        <w:r w:rsidR="0059396B">
                          <w:t xml:space="preserve"> </w:t>
                        </w:r>
                        <w:r>
                          <w:t xml:space="preserve">donosi javnim 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glasovanjem Općinski odbor za šport koji je proširen sa po jednim predstavnikom svih športskih udruga koje imaju sjedište u Općini Jelenje.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Prilikom glasovanja predstavnici športskih udruga nemaju pravo glasa za pojedince ili ekipe koje su njihovi članovi.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Nagrade se sastoje od plakete i novčanog iznosa koji se utvrđuje svake godine ovisno o sredstvima osiguranim u proračunu.</w:t>
                        </w:r>
                      </w:p>
                      <w:p w:rsidR="00961004" w:rsidRPr="00961004" w:rsidRDefault="00961004" w:rsidP="00961004">
                        <w:pPr>
                          <w:pStyle w:val="Sadrajitablice"/>
                          <w:spacing w:before="6"/>
                          <w:jc w:val="both"/>
                          <w:rPr>
                            <w:rFonts w:cs="Times New Roman"/>
                            <w:color w:val="FF0000"/>
                          </w:rPr>
                        </w:pPr>
                        <w:bookmarkStart w:id="9" w:name="_GoBack"/>
                        <w:r w:rsidRPr="00961004">
                          <w:rPr>
                            <w:rFonts w:cs="Times New Roman"/>
                            <w:color w:val="FF0000"/>
                          </w:rPr>
                          <w:t>Postupak i uvjeti za prijavu na natječaj za dodjelu javnog priznanja iz članka 1. st. 1. točke 11., 12., 13. i 14.  utvrdit će se Pravilnikom o uvjetima i postupak dodjele javnog priznanja i nagrada sportašima i sportašicama Općine Jelenje.</w:t>
                        </w:r>
                      </w:p>
                      <w:bookmarkEnd w:id="9"/>
                      <w:p w:rsidR="00961004" w:rsidRDefault="00961004" w:rsidP="00CF1A4D">
                        <w:pPr>
                          <w:pStyle w:val="StandardWeb"/>
                        </w:pPr>
                      </w:p>
                      <w:p w:rsidR="00CF1A4D" w:rsidRDefault="00CF1A4D" w:rsidP="00CF1A4D">
                        <w:pPr>
                          <w:pStyle w:val="StandardWeb"/>
                          <w:jc w:val="center"/>
                        </w:pPr>
                        <w:r>
                          <w:t>Članak 10.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 xml:space="preserve">Nagrade navedene pod brojevima od 1. do 8 . uručuju se na svečanoj sjednici Općinskog vijeća povodom </w:t>
                        </w:r>
                        <w:proofErr w:type="spellStart"/>
                        <w:r>
                          <w:t>Mihoje</w:t>
                        </w:r>
                        <w:proofErr w:type="spellEnd"/>
                        <w:r>
                          <w:t xml:space="preserve"> - Dana Općine Jelenje.</w:t>
                        </w:r>
                      </w:p>
                      <w:p w:rsidR="00CF1A4D" w:rsidRDefault="00CF1A4D" w:rsidP="00CF1A4D">
                        <w:pPr>
                          <w:pStyle w:val="StandardWeb"/>
                          <w:rPr>
                            <w:strike/>
                          </w:rPr>
                        </w:pPr>
                        <w:r w:rsidRPr="0059396B">
                          <w:rPr>
                            <w:strike/>
                            <w:highlight w:val="yellow"/>
                          </w:rPr>
                          <w:t>Nagrade navedene pod brojevima od 9. do 13. uručuju se na sjednici Općinskog vijeća koja se organizira u drugoj polovici mjeseca prosinca.</w:t>
                        </w:r>
                        <w:r w:rsidR="0059396B" w:rsidRPr="0059396B">
                          <w:rPr>
                            <w:strike/>
                          </w:rPr>
                          <w:t xml:space="preserve">  </w:t>
                        </w:r>
                      </w:p>
                      <w:p w:rsidR="005A5B0B" w:rsidRPr="005A5B0B" w:rsidRDefault="005A5B0B" w:rsidP="005A5B0B">
                        <w:pPr>
                          <w:pStyle w:val="Sadrajitablice"/>
                          <w:spacing w:before="6"/>
                          <w:jc w:val="both"/>
                          <w:rPr>
                            <w:rFonts w:cs="Times New Roman"/>
                            <w:color w:val="FF0000"/>
                          </w:rPr>
                        </w:pPr>
                        <w:r w:rsidRPr="005A5B0B">
                          <w:rPr>
                            <w:rFonts w:cs="Times New Roman"/>
                            <w:color w:val="FF0000"/>
                          </w:rPr>
                          <w:t xml:space="preserve">Javna priznanja iz članka 1. točke od 9. i 10. uručuju se na manifestaciji </w:t>
                        </w:r>
                        <w:proofErr w:type="spellStart"/>
                        <w:r w:rsidRPr="005A5B0B">
                          <w:rPr>
                            <w:rFonts w:cs="Times New Roman"/>
                            <w:color w:val="FF0000"/>
                          </w:rPr>
                          <w:t>Mlikarica</w:t>
                        </w:r>
                        <w:proofErr w:type="spellEnd"/>
                        <w:r w:rsidRPr="005A5B0B">
                          <w:rPr>
                            <w:rFonts w:cs="Times New Roman"/>
                            <w:color w:val="FF0000"/>
                          </w:rPr>
                          <w:t>.</w:t>
                        </w:r>
                      </w:p>
                      <w:p w:rsidR="005A5B0B" w:rsidRPr="005A5B0B" w:rsidRDefault="005A5B0B" w:rsidP="005A5B0B">
                        <w:pPr>
                          <w:pStyle w:val="Sadrajitablice"/>
                          <w:tabs>
                            <w:tab w:val="left" w:pos="2835"/>
                          </w:tabs>
                          <w:spacing w:before="6"/>
                          <w:jc w:val="both"/>
                          <w:rPr>
                            <w:rFonts w:cs="Times New Roman"/>
                            <w:color w:val="FF0000"/>
                          </w:rPr>
                        </w:pPr>
                        <w:r w:rsidRPr="005A5B0B">
                          <w:rPr>
                            <w:rFonts w:cs="Times New Roman"/>
                            <w:color w:val="FF0000"/>
                          </w:rPr>
                          <w:t>Javna priznanja iz članka 1. točke od 11. do 14. uručuju se u prosincu.</w:t>
                        </w:r>
                      </w:p>
                      <w:p w:rsidR="0059396B" w:rsidRDefault="0059396B" w:rsidP="00CF1A4D">
                        <w:pPr>
                          <w:pStyle w:val="StandardWeb"/>
                        </w:pPr>
                      </w:p>
                      <w:p w:rsidR="00CF1A4D" w:rsidRDefault="00CF1A4D" w:rsidP="00CF1A4D">
                        <w:pPr>
                          <w:pStyle w:val="StandardWeb"/>
                          <w:jc w:val="center"/>
                        </w:pPr>
                        <w:r>
                          <w:t>Članak 11.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t>Ova Odluka stupa na snagu 8 dana od dana objave u »Službenim novinama PGŽ«.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rPr>
                            <w:i/>
                            <w:iCs/>
                          </w:rPr>
                          <w:t>Klasa: 061-01/11-01/1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proofErr w:type="spellStart"/>
                        <w:r>
                          <w:rPr>
                            <w:i/>
                            <w:iCs/>
                          </w:rPr>
                          <w:t>Ur</w:t>
                        </w:r>
                        <w:proofErr w:type="spellEnd"/>
                        <w:r>
                          <w:rPr>
                            <w:i/>
                            <w:iCs/>
                          </w:rPr>
                          <w:t>. broj: 2170/04-01-11-1</w:t>
                        </w:r>
                      </w:p>
                      <w:p w:rsidR="00CF1A4D" w:rsidRDefault="00CF1A4D" w:rsidP="00CF1A4D">
                        <w:pPr>
                          <w:pStyle w:val="StandardWeb"/>
                        </w:pPr>
                        <w:r>
                          <w:rPr>
                            <w:i/>
                            <w:iCs/>
                          </w:rPr>
                          <w:t>Dražice, 17. ožujka. 2011.</w:t>
                        </w:r>
                      </w:p>
                      <w:p w:rsidR="00CF1A4D" w:rsidRDefault="00CF1A4D" w:rsidP="00CF1A4D">
                        <w:pPr>
                          <w:pStyle w:val="StandardWeb"/>
                          <w:jc w:val="center"/>
                        </w:pPr>
                        <w:r>
                          <w:t>OPĆINSKO VIJEĆE OPĆINE JELENJE</w:t>
                        </w:r>
                      </w:p>
                      <w:p w:rsidR="00CF1A4D" w:rsidRDefault="00CF1A4D" w:rsidP="00CF1A4D">
                        <w:pPr>
                          <w:pStyle w:val="StandardWeb"/>
                          <w:jc w:val="center"/>
                        </w:pPr>
                        <w:r>
                          <w:t>Predsjednik</w:t>
                        </w:r>
                      </w:p>
                      <w:p w:rsidR="00CF1A4D" w:rsidRDefault="00CF1A4D" w:rsidP="00CF1A4D">
                        <w:pPr>
                          <w:pStyle w:val="StandardWeb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 xml:space="preserve">Damir </w:t>
                        </w:r>
                        <w:proofErr w:type="spellStart"/>
                        <w:r>
                          <w:rPr>
                            <w:b/>
                            <w:bCs/>
                          </w:rPr>
                          <w:t>Maršanić</w:t>
                        </w:r>
                        <w:proofErr w:type="spellEnd"/>
                        <w:r>
                          <w:rPr>
                            <w:b/>
                            <w:bCs/>
                          </w:rPr>
                          <w:t>, v. r.</w:t>
                        </w:r>
                      </w:p>
                      <w:p w:rsidR="00CF1A4D" w:rsidRDefault="00CF1A4D" w:rsidP="00CF1A4D">
                        <w:pPr>
                          <w:rPr>
                            <w:color w:val="000000"/>
                          </w:rPr>
                        </w:pPr>
                      </w:p>
                    </w:tc>
                  </w:tr>
                </w:tbl>
                <w:p w:rsidR="00CF1A4D" w:rsidRDefault="00CF1A4D"/>
              </w:tc>
              <w:tc>
                <w:tcPr>
                  <w:tcW w:w="15" w:type="dxa"/>
                  <w:shd w:val="clear" w:color="auto" w:fill="999999"/>
                  <w:vAlign w:val="center"/>
                  <w:hideMark/>
                </w:tcPr>
                <w:p w:rsidR="00CF1A4D" w:rsidRDefault="00CF1A4D">
                  <w:r>
                    <w:rPr>
                      <w:noProof/>
                    </w:rPr>
                    <w:lastRenderedPageBreak/>
                    <w:drawing>
                      <wp:inline distT="0" distB="0" distL="0" distR="0" wp14:anchorId="04BD8ABA" wp14:editId="767FA1DD">
                        <wp:extent cx="7620" cy="7620"/>
                        <wp:effectExtent l="0" t="0" r="0" b="0"/>
                        <wp:docPr id="6" name="Slika 6" descr="http://www.sn.pgz.hr/slike/system/cle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sn.pgz.hr/slike/system/cle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F1A4D" w:rsidRDefault="00CF1A4D">
            <w:pPr>
              <w:jc w:val="center"/>
              <w:rPr>
                <w:vanish/>
              </w:rPr>
            </w:pPr>
          </w:p>
          <w:tbl>
            <w:tblPr>
              <w:tblW w:w="7224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"/>
              <w:gridCol w:w="6984"/>
              <w:gridCol w:w="120"/>
            </w:tblGrid>
            <w:tr w:rsidR="00CF1A4D">
              <w:trPr>
                <w:tblCellSpacing w:w="0" w:type="dxa"/>
                <w:jc w:val="center"/>
              </w:trPr>
              <w:tc>
                <w:tcPr>
                  <w:tcW w:w="84" w:type="dxa"/>
                  <w:vMerge w:val="restart"/>
                  <w:hideMark/>
                </w:tcPr>
                <w:p w:rsidR="00CF1A4D" w:rsidRDefault="00CF1A4D">
                  <w:r>
                    <w:rPr>
                      <w:noProof/>
                    </w:rPr>
                    <w:drawing>
                      <wp:inline distT="0" distB="0" distL="0" distR="0">
                        <wp:extent cx="68580" cy="68580"/>
                        <wp:effectExtent l="0" t="0" r="7620" b="7620"/>
                        <wp:docPr id="5" name="Slika 5" descr="http://www.sn.pgz.hr/slike/system/direct_crn_btmlt_7x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ww.sn.pgz.hr/slike/system/direct_crn_btmlt_7x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" cy="68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632" w:type="dxa"/>
                  <w:shd w:val="clear" w:color="auto" w:fill="FFFFFF"/>
                  <w:vAlign w:val="center"/>
                  <w:hideMark/>
                </w:tcPr>
                <w:p w:rsidR="00CF1A4D" w:rsidRDefault="00CF1A4D">
                  <w:r>
                    <w:rPr>
                      <w:noProof/>
                    </w:rPr>
                    <w:drawing>
                      <wp:inline distT="0" distB="0" distL="0" distR="0">
                        <wp:extent cx="7620" cy="60960"/>
                        <wp:effectExtent l="0" t="0" r="0" b="0"/>
                        <wp:docPr id="4" name="Slika 4" descr="http://www.sn.pgz.hr/slike/system/cle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www.sn.pgz.hr/slike/system/cle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60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4" w:type="dxa"/>
                  <w:vMerge w:val="restart"/>
                  <w:hideMark/>
                </w:tcPr>
                <w:p w:rsidR="00CF1A4D" w:rsidRDefault="00CF1A4D">
                  <w:pPr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8580" cy="68580"/>
                        <wp:effectExtent l="0" t="0" r="7620" b="7620"/>
                        <wp:docPr id="3" name="Slika 3" descr="http://www.sn.pgz.hr/slike/system/direct_crn_btmrt_7x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sn.pgz.hr/slike/system/direct_crn_btmrt_7x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" cy="68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F1A4D">
              <w:trPr>
                <w:tblCellSpacing w:w="0" w:type="dxa"/>
                <w:jc w:val="center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F1A4D" w:rsidRDefault="00CF1A4D"/>
              </w:tc>
              <w:tc>
                <w:tcPr>
                  <w:tcW w:w="7632" w:type="dxa"/>
                  <w:shd w:val="clear" w:color="auto" w:fill="999999"/>
                  <w:vAlign w:val="center"/>
                  <w:hideMark/>
                </w:tcPr>
                <w:p w:rsidR="00CF1A4D" w:rsidRDefault="00CF1A4D">
                  <w:r>
                    <w:rPr>
                      <w:noProof/>
                    </w:rPr>
                    <w:drawing>
                      <wp:inline distT="0" distB="0" distL="0" distR="0">
                        <wp:extent cx="7620" cy="7620"/>
                        <wp:effectExtent l="0" t="0" r="0" b="0"/>
                        <wp:docPr id="2" name="Slika 2" descr="http://www.sn.pgz.hr/slike/system/cle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www.sn.pgz.hr/slike/system/cle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F1A4D" w:rsidRDefault="00CF1A4D"/>
              </w:tc>
            </w:tr>
          </w:tbl>
          <w:p w:rsidR="00CF1A4D" w:rsidRDefault="00CF1A4D">
            <w:pPr>
              <w:jc w:val="center"/>
            </w:pPr>
          </w:p>
          <w:tbl>
            <w:tblPr>
              <w:tblW w:w="7224" w:type="dxa"/>
              <w:jc w:val="center"/>
              <w:tblCellSpacing w:w="0" w:type="dxa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7224"/>
            </w:tblGrid>
            <w:tr w:rsidR="00CF1A4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F1A4D" w:rsidRDefault="00CF1A4D">
                  <w:pPr>
                    <w:jc w:val="center"/>
                  </w:pPr>
                  <w:r>
                    <w:rPr>
                      <w:rStyle w:val="textcr1"/>
                    </w:rPr>
                    <w:t xml:space="preserve">© Primorsko-goranska županija 2002.-2003. Sva prava pridržana. </w:t>
                  </w:r>
                </w:p>
              </w:tc>
            </w:tr>
            <w:tr w:rsidR="00CF1A4D">
              <w:trPr>
                <w:trHeight w:val="384"/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CF1A4D" w:rsidRDefault="00CF1A4D">
                  <w:pPr>
                    <w:jc w:val="center"/>
                  </w:pPr>
                  <w:r>
                    <w:rPr>
                      <w:rStyle w:val="textcr1"/>
                    </w:rPr>
                    <w:t>Obratite se</w:t>
                  </w:r>
                  <w:r>
                    <w:t xml:space="preserve"> </w:t>
                  </w:r>
                  <w:hyperlink r:id="rId11" w:history="1">
                    <w:r>
                      <w:rPr>
                        <w:rStyle w:val="sivilink10bold"/>
                        <w:rFonts w:ascii="Verdana" w:hAnsi="Verdana"/>
                        <w:b/>
                        <w:bCs/>
                        <w:color w:val="333333"/>
                        <w:sz w:val="17"/>
                        <w:szCs w:val="17"/>
                      </w:rPr>
                      <w:t>webmasteru</w:t>
                    </w:r>
                  </w:hyperlink>
                  <w:r>
                    <w:rPr>
                      <w:rStyle w:val="text1"/>
                    </w:rPr>
                    <w:t xml:space="preserve"> </w:t>
                  </w:r>
                  <w:r>
                    <w:rPr>
                      <w:rStyle w:val="textcr1"/>
                    </w:rPr>
                    <w:t>s pitanjima i komentarima.</w:t>
                  </w:r>
                </w:p>
              </w:tc>
            </w:tr>
            <w:tr w:rsidR="00CF1A4D" w:rsidTr="00CF1A4D">
              <w:trPr>
                <w:trHeight w:val="56"/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CF1A4D" w:rsidRDefault="00CF1A4D">
                  <w:pPr>
                    <w:jc w:val="center"/>
                  </w:pPr>
                  <w:r>
                    <w:rPr>
                      <w:rStyle w:val="textcr1"/>
                    </w:rPr>
                    <w:t>Programska podrška</w:t>
                  </w:r>
                  <w:r>
                    <w:rPr>
                      <w:rFonts w:ascii="Verdana" w:hAnsi="Verdana"/>
                      <w:color w:val="999999"/>
                      <w:sz w:val="15"/>
                      <w:szCs w:val="15"/>
                    </w:rPr>
                    <w:br/>
                  </w:r>
                  <w:r>
                    <w:rPr>
                      <w:rFonts w:ascii="Verdana" w:hAnsi="Verdana"/>
                      <w:noProof/>
                      <w:color w:val="0000FF"/>
                      <w:sz w:val="15"/>
                      <w:szCs w:val="15"/>
                    </w:rPr>
                    <w:drawing>
                      <wp:inline distT="0" distB="0" distL="0" distR="0" wp14:anchorId="544436E1" wp14:editId="57FA4455">
                        <wp:extent cx="662940" cy="160020"/>
                        <wp:effectExtent l="0" t="0" r="3810" b="0"/>
                        <wp:docPr id="1" name="Slika 1" descr="www.netcom.hr">
                          <a:hlinkClick xmlns:a="http://schemas.openxmlformats.org/drawingml/2006/main" r:id="rId12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www.netcom.hr">
                                  <a:hlinkClick r:id="rId12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2940" cy="160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F1A4D" w:rsidRDefault="00CF1A4D">
            <w:pPr>
              <w:jc w:val="center"/>
            </w:pPr>
          </w:p>
        </w:tc>
      </w:tr>
    </w:tbl>
    <w:p w:rsidR="004859A8" w:rsidRDefault="004859A8"/>
    <w:sectPr w:rsidR="00485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4308B"/>
    <w:multiLevelType w:val="multilevel"/>
    <w:tmpl w:val="F9D29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1A4D"/>
    <w:rsid w:val="000A3C27"/>
    <w:rsid w:val="001F60A9"/>
    <w:rsid w:val="0020428A"/>
    <w:rsid w:val="003A5262"/>
    <w:rsid w:val="004120C1"/>
    <w:rsid w:val="004859A8"/>
    <w:rsid w:val="004A535F"/>
    <w:rsid w:val="00580F3E"/>
    <w:rsid w:val="0059396B"/>
    <w:rsid w:val="005A5B0B"/>
    <w:rsid w:val="006A7F0D"/>
    <w:rsid w:val="007A2438"/>
    <w:rsid w:val="00866EEE"/>
    <w:rsid w:val="008C68DA"/>
    <w:rsid w:val="00961004"/>
    <w:rsid w:val="00AA170C"/>
    <w:rsid w:val="00B62F66"/>
    <w:rsid w:val="00CB457D"/>
    <w:rsid w:val="00CF1A4D"/>
    <w:rsid w:val="00EA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BDCF"/>
  <w15:docId w15:val="{3F4196CD-9EAF-434A-811C-CDA78EE25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link w:val="Naslov1Char"/>
    <w:qFormat/>
    <w:rsid w:val="00CF1A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F1A4D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StandardWeb">
    <w:name w:val="Normal (Web)"/>
    <w:basedOn w:val="Normal"/>
    <w:uiPriority w:val="99"/>
    <w:unhideWhenUsed/>
    <w:rsid w:val="00CF1A4D"/>
    <w:pPr>
      <w:spacing w:before="100" w:beforeAutospacing="1" w:after="100" w:afterAutospacing="1"/>
    </w:pPr>
    <w:rPr>
      <w:color w:val="000000"/>
    </w:rPr>
  </w:style>
  <w:style w:type="character" w:styleId="Naglaeno">
    <w:name w:val="Strong"/>
    <w:basedOn w:val="Zadanifontodlomka"/>
    <w:uiPriority w:val="22"/>
    <w:qFormat/>
    <w:rsid w:val="00CF1A4D"/>
    <w:rPr>
      <w:b/>
      <w:bCs/>
    </w:rPr>
  </w:style>
  <w:style w:type="paragraph" w:customStyle="1" w:styleId="bijelilink11bold">
    <w:name w:val="bijelilink11bold"/>
    <w:basedOn w:val="Normal"/>
    <w:rsid w:val="00CF1A4D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character" w:customStyle="1" w:styleId="textcr1">
    <w:name w:val="text_cr1"/>
    <w:basedOn w:val="Zadanifontodlomka"/>
    <w:rsid w:val="00CF1A4D"/>
    <w:rPr>
      <w:rFonts w:ascii="Verdana" w:hAnsi="Verdana" w:hint="default"/>
      <w:color w:val="999999"/>
      <w:sz w:val="15"/>
      <w:szCs w:val="15"/>
    </w:rPr>
  </w:style>
  <w:style w:type="character" w:customStyle="1" w:styleId="sivilink10bold">
    <w:name w:val="sivilink10bold"/>
    <w:basedOn w:val="Zadanifontodlomka"/>
    <w:rsid w:val="00CF1A4D"/>
  </w:style>
  <w:style w:type="character" w:customStyle="1" w:styleId="text1">
    <w:name w:val="text1"/>
    <w:basedOn w:val="Zadanifontodlomka"/>
    <w:rsid w:val="00CF1A4D"/>
    <w:rPr>
      <w:rFonts w:ascii="Verdana" w:hAnsi="Verdana" w:hint="default"/>
      <w:color w:val="333333"/>
      <w:sz w:val="17"/>
      <w:szCs w:val="17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1A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1A4D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Sadrajitablice">
    <w:name w:val="Sadržaji tablice"/>
    <w:basedOn w:val="Normal"/>
    <w:rsid w:val="0020428A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6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5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932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2" w:space="0" w:color="000000"/>
            <w:right w:val="single" w:sz="6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hyperlink" Target="http://www.netcom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hyperlink" Target="mailto:sn.pgz@novilist.hr" TargetMode="External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8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</dc:creator>
  <cp:lastModifiedBy>Gordana tomas</cp:lastModifiedBy>
  <cp:revision>9</cp:revision>
  <cp:lastPrinted>2019-11-12T09:53:00Z</cp:lastPrinted>
  <dcterms:created xsi:type="dcterms:W3CDTF">2016-08-22T20:13:00Z</dcterms:created>
  <dcterms:modified xsi:type="dcterms:W3CDTF">2019-11-12T10:47:00Z</dcterms:modified>
</cp:coreProperties>
</file>